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1549" w14:textId="77777777" w:rsidR="009E37BB" w:rsidRDefault="009E37BB" w:rsidP="00E27BFA">
      <w:pPr>
        <w:pStyle w:val="Header"/>
        <w:rPr>
          <w:noProof/>
        </w:rPr>
      </w:pPr>
    </w:p>
    <w:p w14:paraId="6182154A" w14:textId="77777777" w:rsidR="009E37BB" w:rsidRDefault="009E37BB" w:rsidP="00E27BFA">
      <w:pPr>
        <w:pStyle w:val="Header"/>
        <w:rPr>
          <w:noProof/>
        </w:rPr>
      </w:pPr>
    </w:p>
    <w:p w14:paraId="6182154B" w14:textId="77777777" w:rsidR="009E37BB" w:rsidRDefault="009E37BB" w:rsidP="00E27BFA">
      <w:pPr>
        <w:pStyle w:val="Header"/>
        <w:rPr>
          <w:noProof/>
        </w:rPr>
      </w:pPr>
    </w:p>
    <w:p w14:paraId="6182154C" w14:textId="77777777" w:rsidR="009E37BB" w:rsidRDefault="00E9069F" w:rsidP="00E27BFA">
      <w:pPr>
        <w:pStyle w:val="Header"/>
        <w:rPr>
          <w:noProof/>
        </w:rPr>
      </w:pPr>
      <w:r>
        <w:rPr>
          <w:noProof/>
        </w:rPr>
        <mc:AlternateContent>
          <mc:Choice Requires="wps">
            <w:drawing>
              <wp:anchor distT="0" distB="0" distL="114300" distR="114300" simplePos="0" relativeHeight="251662336" behindDoc="0" locked="0" layoutInCell="1" allowOverlap="1" wp14:anchorId="61821EFF" wp14:editId="61821F00">
                <wp:simplePos x="0" y="0"/>
                <wp:positionH relativeFrom="page">
                  <wp:posOffset>160020</wp:posOffset>
                </wp:positionH>
                <wp:positionV relativeFrom="page">
                  <wp:posOffset>2369820</wp:posOffset>
                </wp:positionV>
                <wp:extent cx="7482840" cy="2038350"/>
                <wp:effectExtent l="0" t="0" r="3810" b="0"/>
                <wp:wrapTight wrapText="bothSides">
                  <wp:wrapPolygon edited="0">
                    <wp:start x="0" y="0"/>
                    <wp:lineTo x="0" y="21398"/>
                    <wp:lineTo x="21556" y="21398"/>
                    <wp:lineTo x="21556" y="0"/>
                    <wp:lineTo x="0" y="0"/>
                  </wp:wrapPolygon>
                </wp:wrapTight>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2840" cy="2038350"/>
                        </a:xfrm>
                        <a:prstGeom prst="rect">
                          <a:avLst/>
                        </a:prstGeom>
                        <a:solidFill>
                          <a:srgbClr val="C79D1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21F5F" w14:textId="77777777" w:rsidR="004C26C8" w:rsidRPr="00F43D5E" w:rsidRDefault="00E9069F" w:rsidP="00F43D5E">
                            <w:pPr>
                              <w:keepLines w:val="0"/>
                              <w:spacing w:before="0"/>
                              <w:ind w:left="-567"/>
                              <w:jc w:val="left"/>
                              <w:rPr>
                                <w:rFonts w:eastAsia="Times"/>
                                <w:color w:val="FFFFFF" w:themeColor="background1"/>
                                <w:sz w:val="96"/>
                                <w:szCs w:val="96"/>
                                <w:lang w:val="en-GB" w:eastAsia="en-US"/>
                              </w:rPr>
                            </w:pPr>
                            <w:r w:rsidRPr="00F43D5E">
                              <w:rPr>
                                <w:rFonts w:eastAsia="Times"/>
                                <w:color w:val="FFFFFF" w:themeColor="background1"/>
                                <w:sz w:val="96"/>
                                <w:szCs w:val="96"/>
                                <w:lang w:val="en-GB" w:eastAsia="en-US"/>
                              </w:rPr>
                              <w:t>Chemical Management Plan</w:t>
                            </w:r>
                          </w:p>
                          <w:p w14:paraId="61821F60" w14:textId="77777777" w:rsidR="004C26C8" w:rsidRPr="00A01F81" w:rsidRDefault="004C26C8" w:rsidP="00F43D5E">
                            <w:pPr>
                              <w:keepLines w:val="0"/>
                              <w:spacing w:before="0"/>
                              <w:ind w:left="-567"/>
                              <w:jc w:val="left"/>
                              <w:rPr>
                                <w:rFonts w:eastAsia="Times"/>
                                <w:color w:val="FFFFFF"/>
                                <w:sz w:val="140"/>
                                <w:lang w:val="en-GB" w:eastAsia="en-US"/>
                              </w:rPr>
                            </w:pPr>
                          </w:p>
                        </w:txbxContent>
                      </wps:txbx>
                      <wps:bodyPr rot="0" vert="horz" wrap="square" lIns="522000" tIns="91440" rIns="91440" bIns="18000" anchor="t" anchorCtr="0" upright="1"/>
                    </wps:wsp>
                  </a:graphicData>
                </a:graphic>
                <wp14:sizeRelH relativeFrom="page">
                  <wp14:pctWidth>0</wp14:pctWidth>
                </wp14:sizeRelH>
                <wp14:sizeRelV relativeFrom="page">
                  <wp14:pctHeight>0</wp14:pctHeight>
                </wp14:sizeRelV>
              </wp:anchor>
            </w:drawing>
          </mc:Choice>
          <mc:Fallback>
            <w:pict>
              <v:shapetype w14:anchorId="61821EFF" id="_x0000_t202" coordsize="21600,21600" o:spt="202" path="m,l,21600r21600,l21600,xe">
                <v:stroke joinstyle="miter"/>
                <v:path gradientshapeok="t" o:connecttype="rect"/>
              </v:shapetype>
              <v:shape id="Text Box 24" o:spid="_x0000_s1026" type="#_x0000_t202" style="position:absolute;left:0;text-align:left;margin-left:12.6pt;margin-top:186.6pt;width:589.2pt;height:16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" fillcolor="#c79d15" stroked="f">
                <v:textbox inset="14.5mm,7.2pt,,.5mm">
                  <w:txbxContent>
                    <w:p w14:paraId="61821F5F" w14:textId="77777777" w:rsidR="004C26C8" w:rsidRPr="00F43D5E" w:rsidRDefault="00E9069F" w:rsidP="00F43D5E">
                      <w:pPr>
                        <w:keepLines w:val="0"/>
                        <w:spacing w:before="0"/>
                        <w:ind w:left="-567"/>
                        <w:jc w:val="left"/>
                        <w:rPr>
                          <w:rFonts w:eastAsia="Times"/>
                          <w:color w:val="FFFFFF" w:themeColor="background1"/>
                          <w:sz w:val="96"/>
                          <w:szCs w:val="96"/>
                          <w:lang w:val="en-GB" w:eastAsia="en-US"/>
                        </w:rPr>
                      </w:pPr>
                      <w:r w:rsidRPr="00F43D5E">
                        <w:rPr>
                          <w:rFonts w:eastAsia="Times"/>
                          <w:color w:val="FFFFFF" w:themeColor="background1"/>
                          <w:sz w:val="96"/>
                          <w:szCs w:val="96"/>
                          <w:lang w:val="en-GB" w:eastAsia="en-US"/>
                        </w:rPr>
                        <w:t>Chemical Management Plan</w:t>
                      </w:r>
                    </w:p>
                    <w:p w14:paraId="61821F60" w14:textId="77777777" w:rsidR="004C26C8" w:rsidRPr="00A01F81" w:rsidRDefault="004C26C8" w:rsidP="00F43D5E">
                      <w:pPr>
                        <w:keepLines w:val="0"/>
                        <w:spacing w:before="0"/>
                        <w:ind w:left="-567"/>
                        <w:jc w:val="left"/>
                        <w:rPr>
                          <w:rFonts w:eastAsia="Times"/>
                          <w:color w:val="FFFFFF"/>
                          <w:sz w:val="140"/>
                          <w:lang w:val="en-GB" w:eastAsia="en-US"/>
                        </w:rPr>
                      </w:pPr>
                    </w:p>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61821F01" wp14:editId="61821F02">
                <wp:simplePos x="0" y="0"/>
                <wp:positionH relativeFrom="page">
                  <wp:posOffset>160020</wp:posOffset>
                </wp:positionH>
                <wp:positionV relativeFrom="page">
                  <wp:posOffset>4389120</wp:posOffset>
                </wp:positionV>
                <wp:extent cx="3886200" cy="45719"/>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19"/>
                        </a:xfrm>
                        <a:prstGeom prst="rect">
                          <a:avLst/>
                        </a:prstGeom>
                        <a:solidFill>
                          <a:srgbClr val="C79D1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21F61" w14:textId="77777777" w:rsidR="004C26C8" w:rsidRDefault="004C26C8" w:rsidP="00E01967">
                            <w:pPr>
                              <w:keepLines w:val="0"/>
                              <w:spacing w:before="0"/>
                              <w:ind w:left="-567"/>
                              <w:jc w:val="left"/>
                              <w:rPr>
                                <w:rFonts w:eastAsia="Times"/>
                                <w:color w:val="FFFFFF"/>
                                <w:sz w:val="96"/>
                                <w:szCs w:val="96"/>
                                <w:lang w:val="en-GB" w:eastAsia="en-US"/>
                              </w:rPr>
                            </w:pPr>
                          </w:p>
                        </w:txbxContent>
                      </wps:txbx>
                      <wps:bodyPr rot="0" vert="horz" wrap="square" lIns="522000" tIns="91440" rIns="91440" bIns="18000" anchor="t" anchorCtr="0" upright="1"/>
                    </wps:wsp>
                  </a:graphicData>
                </a:graphic>
                <wp14:sizeRelH relativeFrom="page">
                  <wp14:pctWidth>0</wp14:pctWidth>
                </wp14:sizeRelH>
                <wp14:sizeRelV relativeFrom="page">
                  <wp14:pctHeight>0</wp14:pctHeight>
                </wp14:sizeRelV>
              </wp:anchor>
            </w:drawing>
          </mc:Choice>
          <mc:Fallback>
            <w:pict>
              <v:shape w14:anchorId="61821F01" id="Text Box 22" o:spid="_x0000_s1027" type="#_x0000_t202" style="position:absolute;left:0;text-align:left;margin-left:12.6pt;margin-top:345.6pt;width:306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" fillcolor="#c79d15" stroked="f">
                <v:textbox inset="14.5mm,7.2pt,,.5mm">
                  <w:txbxContent>
                    <w:p w14:paraId="61821F61" w14:textId="77777777" w:rsidR="004C26C8" w:rsidRDefault="004C26C8" w:rsidP="00E01967">
                      <w:pPr>
                        <w:keepLines w:val="0"/>
                        <w:spacing w:before="0"/>
                        <w:ind w:left="-567"/>
                        <w:jc w:val="left"/>
                        <w:rPr>
                          <w:rFonts w:eastAsia="Times"/>
                          <w:color w:val="FFFFFF"/>
                          <w:sz w:val="96"/>
                          <w:szCs w:val="96"/>
                          <w:lang w:val="en-GB" w:eastAsia="en-US"/>
                        </w:rPr>
                      </w:pPr>
                    </w:p>
                  </w:txbxContent>
                </v:textbox>
                <w10:wrap anchorx="page" anchory="page"/>
              </v:shape>
            </w:pict>
          </mc:Fallback>
        </mc:AlternateContent>
      </w:r>
    </w:p>
    <w:p w14:paraId="6182154D" w14:textId="77777777" w:rsidR="009E37BB" w:rsidRDefault="00E9069F" w:rsidP="00E27BFA">
      <w:pPr>
        <w:pStyle w:val="Header"/>
        <w:rPr>
          <w:noProof/>
        </w:rPr>
      </w:pPr>
      <w:r>
        <w:rPr>
          <w:noProof/>
        </w:rPr>
        <mc:AlternateContent>
          <mc:Choice Requires="wps">
            <w:drawing>
              <wp:anchor distT="0" distB="0" distL="114300" distR="114300" simplePos="0" relativeHeight="251660288" behindDoc="0" locked="0" layoutInCell="1" allowOverlap="1" wp14:anchorId="61821F03" wp14:editId="61821F04">
                <wp:simplePos x="0" y="0"/>
                <wp:positionH relativeFrom="page">
                  <wp:posOffset>160020</wp:posOffset>
                </wp:positionH>
                <wp:positionV relativeFrom="page">
                  <wp:posOffset>4411980</wp:posOffset>
                </wp:positionV>
                <wp:extent cx="3886200" cy="35052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505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21F62" w14:textId="77777777" w:rsidR="004C26C8" w:rsidRPr="00A01F81" w:rsidRDefault="00E9069F" w:rsidP="00E01967">
                            <w:pPr>
                              <w:keepLines w:val="0"/>
                              <w:spacing w:before="0"/>
                              <w:ind w:left="-567"/>
                              <w:jc w:val="left"/>
                              <w:rPr>
                                <w:rFonts w:eastAsia="Times"/>
                                <w:color w:val="FFFFFF"/>
                                <w:sz w:val="32"/>
                                <w:lang w:val="en-GB" w:eastAsia="en-US"/>
                              </w:rPr>
                            </w:pPr>
                            <w:r w:rsidRPr="00E01967">
                              <w:rPr>
                                <w:rFonts w:eastAsia="Times"/>
                                <w:color w:val="FFFFFF"/>
                                <w:sz w:val="32"/>
                                <w:lang w:val="en-GB" w:eastAsia="en-US"/>
                              </w:rPr>
                              <w:t>Curtin University</w:t>
                            </w:r>
                          </w:p>
                        </w:txbxContent>
                      </wps:txbx>
                      <wps:bodyPr rot="0" vert="horz" wrap="square" lIns="540000" tIns="91440" rIns="108000" bIns="18000" anchor="t" anchorCtr="0" upright="1"/>
                    </wps:wsp>
                  </a:graphicData>
                </a:graphic>
                <wp14:sizeRelH relativeFrom="page">
                  <wp14:pctWidth>0</wp14:pctWidth>
                </wp14:sizeRelH>
                <wp14:sizeRelV relativeFrom="page">
                  <wp14:pctHeight>0</wp14:pctHeight>
                </wp14:sizeRelV>
              </wp:anchor>
            </w:drawing>
          </mc:Choice>
          <mc:Fallback>
            <w:pict>
              <v:shape w14:anchorId="61821F03" id="Text Box 23" o:spid="_x0000_s1028" type="#_x0000_t202" style="position:absolute;left:0;text-align:left;margin-left:12.6pt;margin-top:347.4pt;width:306pt;height:2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" fillcolor="black" stroked="f">
                <v:textbox inset="15mm,7.2pt,3mm,.5mm">
                  <w:txbxContent>
                    <w:p w14:paraId="61821F62" w14:textId="77777777" w:rsidR="004C26C8" w:rsidRPr="00A01F81" w:rsidRDefault="00E9069F" w:rsidP="00E01967">
                      <w:pPr>
                        <w:keepLines w:val="0"/>
                        <w:spacing w:before="0"/>
                        <w:ind w:left="-567"/>
                        <w:jc w:val="left"/>
                        <w:rPr>
                          <w:rFonts w:eastAsia="Times"/>
                          <w:color w:val="FFFFFF"/>
                          <w:sz w:val="32"/>
                          <w:lang w:val="en-GB" w:eastAsia="en-US"/>
                        </w:rPr>
                      </w:pPr>
                      <w:r w:rsidRPr="00E01967">
                        <w:rPr>
                          <w:rFonts w:eastAsia="Times"/>
                          <w:color w:val="FFFFFF"/>
                          <w:sz w:val="32"/>
                          <w:lang w:val="en-GB" w:eastAsia="en-US"/>
                        </w:rPr>
                        <w:t>Curtin University</w:t>
                      </w:r>
                    </w:p>
                  </w:txbxContent>
                </v:textbox>
                <w10:wrap anchorx="page" anchory="page"/>
              </v:shape>
            </w:pict>
          </mc:Fallback>
        </mc:AlternateContent>
      </w:r>
    </w:p>
    <w:p w14:paraId="6182154E" w14:textId="77777777" w:rsidR="009E37BB" w:rsidRDefault="009E37BB" w:rsidP="00E27BFA">
      <w:pPr>
        <w:pStyle w:val="Header"/>
        <w:rPr>
          <w:noProof/>
        </w:rPr>
      </w:pPr>
    </w:p>
    <w:p w14:paraId="6182154F" w14:textId="77777777" w:rsidR="009E37BB" w:rsidRDefault="009E37BB" w:rsidP="00E27BFA">
      <w:pPr>
        <w:pStyle w:val="Header"/>
        <w:rPr>
          <w:noProof/>
        </w:rPr>
      </w:pPr>
    </w:p>
    <w:p w14:paraId="61821550" w14:textId="77777777" w:rsidR="009E37BB" w:rsidRDefault="009E37BB" w:rsidP="00E27BFA">
      <w:pPr>
        <w:pStyle w:val="Header"/>
        <w:rPr>
          <w:noProof/>
        </w:rPr>
      </w:pPr>
    </w:p>
    <w:p w14:paraId="61821551" w14:textId="77777777" w:rsidR="009E37BB" w:rsidRPr="0066652B" w:rsidRDefault="009E37BB" w:rsidP="00E27BFA">
      <w:pPr>
        <w:pStyle w:val="Header"/>
      </w:pPr>
    </w:p>
    <w:p w14:paraId="61821552" w14:textId="77777777" w:rsidR="009E37BB" w:rsidRPr="0066652B" w:rsidRDefault="009E37BB" w:rsidP="00E27BFA">
      <w:pPr>
        <w:pStyle w:val="Header"/>
      </w:pPr>
    </w:p>
    <w:p w14:paraId="61821553" w14:textId="77777777" w:rsidR="00356557" w:rsidRDefault="00356557" w:rsidP="00E27BFA">
      <w:pPr>
        <w:pStyle w:val="Header"/>
        <w:rPr>
          <w:noProof/>
        </w:rPr>
        <w:sectPr w:rsidR="00356557" w:rsidSect="00A01F81">
          <w:headerReference w:type="default" r:id="rId11"/>
          <w:footerReference w:type="default" r:id="rId12"/>
          <w:headerReference w:type="first" r:id="rId13"/>
          <w:pgSz w:w="12240" w:h="15840"/>
          <w:pgMar w:top="1776" w:right="737" w:bottom="567" w:left="737" w:header="720" w:footer="720" w:gutter="0"/>
          <w:pgNumType w:fmt="lowerRoman"/>
          <w:cols w:space="709"/>
        </w:sectPr>
      </w:pPr>
    </w:p>
    <w:p w14:paraId="61821554" w14:textId="77777777" w:rsidR="00496AB5" w:rsidRPr="00055827" w:rsidRDefault="00E9069F" w:rsidP="001E5D3F">
      <w:pPr>
        <w:pStyle w:val="Header"/>
        <w:tabs>
          <w:tab w:val="clear" w:pos="4320"/>
          <w:tab w:val="clear" w:pos="8640"/>
          <w:tab w:val="left" w:pos="3012"/>
        </w:tabs>
        <w:spacing w:after="240"/>
        <w:rPr>
          <w:rFonts w:ascii="Arial Bold" w:hAnsi="Arial Bold"/>
          <w:b/>
          <w:caps/>
          <w:noProof/>
          <w:sz w:val="24"/>
          <w:szCs w:val="24"/>
        </w:rPr>
      </w:pPr>
      <w:r w:rsidRPr="00055827">
        <w:rPr>
          <w:rFonts w:ascii="Arial Bold" w:hAnsi="Arial Bold"/>
          <w:b/>
          <w:caps/>
          <w:noProof/>
          <w:sz w:val="24"/>
          <w:szCs w:val="24"/>
        </w:rPr>
        <w:lastRenderedPageBreak/>
        <w:t>Contents</w:t>
      </w:r>
      <w:r w:rsidR="001E5D3F">
        <w:rPr>
          <w:rFonts w:ascii="Arial Bold" w:hAnsi="Arial Bold"/>
          <w:b/>
          <w:caps/>
          <w:noProof/>
          <w:sz w:val="24"/>
          <w:szCs w:val="24"/>
        </w:rPr>
        <w:tab/>
      </w:r>
    </w:p>
    <w:p w14:paraId="2433B2B2" w14:textId="32DE85D9" w:rsidR="00AB3A98" w:rsidRDefault="00E9069F">
      <w:pPr>
        <w:pStyle w:val="TOC1"/>
        <w:rPr>
          <w:rFonts w:asciiTheme="minorHAnsi" w:eastAsiaTheme="minorEastAsia" w:hAnsiTheme="minorHAnsi" w:cstheme="minorBidi"/>
          <w:noProof/>
          <w:sz w:val="22"/>
          <w:szCs w:val="22"/>
        </w:rPr>
      </w:pPr>
      <w:r>
        <w:rPr>
          <w:noProof/>
        </w:rPr>
        <w:fldChar w:fldCharType="begin"/>
      </w:r>
      <w:r>
        <w:rPr>
          <w:noProof/>
        </w:rPr>
        <w:instrText xml:space="preserve"> TOC \o "1-2" \u </w:instrText>
      </w:r>
      <w:r>
        <w:rPr>
          <w:noProof/>
        </w:rPr>
        <w:fldChar w:fldCharType="separate"/>
      </w:r>
      <w:r w:rsidR="00AB3A98">
        <w:rPr>
          <w:noProof/>
        </w:rPr>
        <w:t>1.</w:t>
      </w:r>
      <w:r w:rsidR="00AB3A98">
        <w:rPr>
          <w:rFonts w:asciiTheme="minorHAnsi" w:eastAsiaTheme="minorEastAsia" w:hAnsiTheme="minorHAnsi" w:cstheme="minorBidi"/>
          <w:noProof/>
          <w:sz w:val="22"/>
          <w:szCs w:val="22"/>
        </w:rPr>
        <w:tab/>
      </w:r>
      <w:r w:rsidR="00AB3A98">
        <w:rPr>
          <w:noProof/>
        </w:rPr>
        <w:t>Introduction</w:t>
      </w:r>
      <w:r w:rsidR="00AB3A98">
        <w:rPr>
          <w:noProof/>
        </w:rPr>
        <w:tab/>
      </w:r>
      <w:r w:rsidR="00AB3A98">
        <w:rPr>
          <w:noProof/>
        </w:rPr>
        <w:fldChar w:fldCharType="begin"/>
      </w:r>
      <w:r w:rsidR="00AB3A98">
        <w:rPr>
          <w:noProof/>
        </w:rPr>
        <w:instrText xml:space="preserve"> PAGEREF _Toc101438934 \h </w:instrText>
      </w:r>
      <w:r w:rsidR="00AB3A98">
        <w:rPr>
          <w:noProof/>
        </w:rPr>
      </w:r>
      <w:r w:rsidR="00AB3A98">
        <w:rPr>
          <w:noProof/>
        </w:rPr>
        <w:fldChar w:fldCharType="separate"/>
      </w:r>
      <w:r w:rsidR="00AB3A98">
        <w:rPr>
          <w:noProof/>
        </w:rPr>
        <w:t>1</w:t>
      </w:r>
      <w:r w:rsidR="00AB3A98">
        <w:rPr>
          <w:noProof/>
        </w:rPr>
        <w:fldChar w:fldCharType="end"/>
      </w:r>
    </w:p>
    <w:p w14:paraId="6E5B0BDC" w14:textId="741CF4A8" w:rsidR="00AB3A98" w:rsidRDefault="00AB3A98">
      <w:pPr>
        <w:pStyle w:val="TOC2"/>
        <w:rPr>
          <w:rFonts w:asciiTheme="minorHAnsi" w:eastAsiaTheme="minorEastAsia" w:hAnsiTheme="minorHAnsi" w:cstheme="minorBidi"/>
          <w:noProof/>
          <w:sz w:val="22"/>
          <w:szCs w:val="22"/>
        </w:rPr>
      </w:pPr>
      <w:r>
        <w:rPr>
          <w:noProof/>
        </w:rPr>
        <w:t>1.1   Purpose</w:t>
      </w:r>
      <w:r>
        <w:rPr>
          <w:noProof/>
        </w:rPr>
        <w:tab/>
      </w:r>
      <w:r>
        <w:rPr>
          <w:noProof/>
        </w:rPr>
        <w:fldChar w:fldCharType="begin"/>
      </w:r>
      <w:r>
        <w:rPr>
          <w:noProof/>
        </w:rPr>
        <w:instrText xml:space="preserve"> PAGEREF _Toc101438935 \h </w:instrText>
      </w:r>
      <w:r>
        <w:rPr>
          <w:noProof/>
        </w:rPr>
      </w:r>
      <w:r>
        <w:rPr>
          <w:noProof/>
        </w:rPr>
        <w:fldChar w:fldCharType="separate"/>
      </w:r>
      <w:r>
        <w:rPr>
          <w:noProof/>
        </w:rPr>
        <w:t>1</w:t>
      </w:r>
      <w:r>
        <w:rPr>
          <w:noProof/>
        </w:rPr>
        <w:fldChar w:fldCharType="end"/>
      </w:r>
    </w:p>
    <w:p w14:paraId="35E2F5C7" w14:textId="4CEED0B0" w:rsidR="00AB3A98" w:rsidRDefault="00AB3A98">
      <w:pPr>
        <w:pStyle w:val="TOC2"/>
        <w:rPr>
          <w:rFonts w:asciiTheme="minorHAnsi" w:eastAsiaTheme="minorEastAsia" w:hAnsiTheme="minorHAnsi" w:cstheme="minorBidi"/>
          <w:noProof/>
          <w:sz w:val="22"/>
          <w:szCs w:val="22"/>
        </w:rPr>
      </w:pPr>
      <w:r>
        <w:rPr>
          <w:noProof/>
        </w:rPr>
        <w:t>1.2   Aim</w:t>
      </w:r>
      <w:r>
        <w:rPr>
          <w:noProof/>
        </w:rPr>
        <w:tab/>
      </w:r>
      <w:r>
        <w:rPr>
          <w:noProof/>
        </w:rPr>
        <w:fldChar w:fldCharType="begin"/>
      </w:r>
      <w:r>
        <w:rPr>
          <w:noProof/>
        </w:rPr>
        <w:instrText xml:space="preserve"> PAGEREF _Toc101438936 \h </w:instrText>
      </w:r>
      <w:r>
        <w:rPr>
          <w:noProof/>
        </w:rPr>
      </w:r>
      <w:r>
        <w:rPr>
          <w:noProof/>
        </w:rPr>
        <w:fldChar w:fldCharType="separate"/>
      </w:r>
      <w:r>
        <w:rPr>
          <w:noProof/>
        </w:rPr>
        <w:t>1</w:t>
      </w:r>
      <w:r>
        <w:rPr>
          <w:noProof/>
        </w:rPr>
        <w:fldChar w:fldCharType="end"/>
      </w:r>
    </w:p>
    <w:p w14:paraId="5EFB9AB3" w14:textId="152B3697" w:rsidR="00AB3A98" w:rsidRDefault="00AB3A98">
      <w:pPr>
        <w:pStyle w:val="TOC2"/>
        <w:rPr>
          <w:rFonts w:asciiTheme="minorHAnsi" w:eastAsiaTheme="minorEastAsia" w:hAnsiTheme="minorHAnsi" w:cstheme="minorBidi"/>
          <w:noProof/>
          <w:sz w:val="22"/>
          <w:szCs w:val="22"/>
        </w:rPr>
      </w:pPr>
      <w:r>
        <w:rPr>
          <w:noProof/>
        </w:rPr>
        <w:t>1.3   Scope</w:t>
      </w:r>
      <w:r>
        <w:rPr>
          <w:noProof/>
        </w:rPr>
        <w:tab/>
      </w:r>
      <w:r>
        <w:rPr>
          <w:noProof/>
        </w:rPr>
        <w:fldChar w:fldCharType="begin"/>
      </w:r>
      <w:r>
        <w:rPr>
          <w:noProof/>
        </w:rPr>
        <w:instrText xml:space="preserve"> PAGEREF _Toc101438937 \h </w:instrText>
      </w:r>
      <w:r>
        <w:rPr>
          <w:noProof/>
        </w:rPr>
      </w:r>
      <w:r>
        <w:rPr>
          <w:noProof/>
        </w:rPr>
        <w:fldChar w:fldCharType="separate"/>
      </w:r>
      <w:r>
        <w:rPr>
          <w:noProof/>
        </w:rPr>
        <w:t>1</w:t>
      </w:r>
      <w:r>
        <w:rPr>
          <w:noProof/>
        </w:rPr>
        <w:fldChar w:fldCharType="end"/>
      </w:r>
    </w:p>
    <w:p w14:paraId="756AA2D6" w14:textId="32EE532B" w:rsidR="00AB3A98" w:rsidRDefault="00AB3A98">
      <w:pPr>
        <w:pStyle w:val="TOC2"/>
        <w:rPr>
          <w:rFonts w:asciiTheme="minorHAnsi" w:eastAsiaTheme="minorEastAsia" w:hAnsiTheme="minorHAnsi" w:cstheme="minorBidi"/>
          <w:noProof/>
          <w:sz w:val="22"/>
          <w:szCs w:val="22"/>
        </w:rPr>
      </w:pPr>
      <w:r>
        <w:rPr>
          <w:noProof/>
        </w:rPr>
        <w:t>1.4   Not included in this plan</w:t>
      </w:r>
      <w:r>
        <w:rPr>
          <w:noProof/>
        </w:rPr>
        <w:tab/>
      </w:r>
      <w:r>
        <w:rPr>
          <w:noProof/>
        </w:rPr>
        <w:fldChar w:fldCharType="begin"/>
      </w:r>
      <w:r>
        <w:rPr>
          <w:noProof/>
        </w:rPr>
        <w:instrText xml:space="preserve"> PAGEREF _Toc101438938 \h </w:instrText>
      </w:r>
      <w:r>
        <w:rPr>
          <w:noProof/>
        </w:rPr>
      </w:r>
      <w:r>
        <w:rPr>
          <w:noProof/>
        </w:rPr>
        <w:fldChar w:fldCharType="separate"/>
      </w:r>
      <w:r>
        <w:rPr>
          <w:noProof/>
        </w:rPr>
        <w:t>1</w:t>
      </w:r>
      <w:r>
        <w:rPr>
          <w:noProof/>
        </w:rPr>
        <w:fldChar w:fldCharType="end"/>
      </w:r>
    </w:p>
    <w:p w14:paraId="16F5D578" w14:textId="7E92F6EC" w:rsidR="00AB3A98" w:rsidRDefault="00AB3A98">
      <w:pPr>
        <w:pStyle w:val="TOC2"/>
        <w:rPr>
          <w:rFonts w:asciiTheme="minorHAnsi" w:eastAsiaTheme="minorEastAsia" w:hAnsiTheme="minorHAnsi" w:cstheme="minorBidi"/>
          <w:noProof/>
          <w:sz w:val="22"/>
          <w:szCs w:val="22"/>
        </w:rPr>
      </w:pPr>
      <w:r>
        <w:rPr>
          <w:noProof/>
        </w:rPr>
        <w:t>1.5   Responsibilities</w:t>
      </w:r>
      <w:r>
        <w:rPr>
          <w:noProof/>
        </w:rPr>
        <w:tab/>
      </w:r>
      <w:r>
        <w:rPr>
          <w:noProof/>
        </w:rPr>
        <w:fldChar w:fldCharType="begin"/>
      </w:r>
      <w:r>
        <w:rPr>
          <w:noProof/>
        </w:rPr>
        <w:instrText xml:space="preserve"> PAGEREF _Toc101438939 \h </w:instrText>
      </w:r>
      <w:r>
        <w:rPr>
          <w:noProof/>
        </w:rPr>
      </w:r>
      <w:r>
        <w:rPr>
          <w:noProof/>
        </w:rPr>
        <w:fldChar w:fldCharType="separate"/>
      </w:r>
      <w:r>
        <w:rPr>
          <w:noProof/>
        </w:rPr>
        <w:t>2</w:t>
      </w:r>
      <w:r>
        <w:rPr>
          <w:noProof/>
        </w:rPr>
        <w:fldChar w:fldCharType="end"/>
      </w:r>
    </w:p>
    <w:p w14:paraId="700B1B75" w14:textId="4338DA09" w:rsidR="00AB3A98" w:rsidRDefault="00AB3A98">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Legislation &amp; Licensing</w:t>
      </w:r>
      <w:r>
        <w:rPr>
          <w:noProof/>
        </w:rPr>
        <w:tab/>
      </w:r>
      <w:r>
        <w:rPr>
          <w:noProof/>
        </w:rPr>
        <w:fldChar w:fldCharType="begin"/>
      </w:r>
      <w:r>
        <w:rPr>
          <w:noProof/>
        </w:rPr>
        <w:instrText xml:space="preserve"> PAGEREF _Toc101438940 \h </w:instrText>
      </w:r>
      <w:r>
        <w:rPr>
          <w:noProof/>
        </w:rPr>
      </w:r>
      <w:r>
        <w:rPr>
          <w:noProof/>
        </w:rPr>
        <w:fldChar w:fldCharType="separate"/>
      </w:r>
      <w:r>
        <w:rPr>
          <w:noProof/>
        </w:rPr>
        <w:t>7</w:t>
      </w:r>
      <w:r>
        <w:rPr>
          <w:noProof/>
        </w:rPr>
        <w:fldChar w:fldCharType="end"/>
      </w:r>
    </w:p>
    <w:p w14:paraId="7529408D" w14:textId="5191CCC2" w:rsidR="00AB3A98" w:rsidRDefault="00AB3A98">
      <w:pPr>
        <w:pStyle w:val="TOC2"/>
        <w:rPr>
          <w:rFonts w:asciiTheme="minorHAnsi" w:eastAsiaTheme="minorEastAsia" w:hAnsiTheme="minorHAnsi" w:cstheme="minorBidi"/>
          <w:noProof/>
          <w:sz w:val="22"/>
          <w:szCs w:val="22"/>
        </w:rPr>
      </w:pPr>
      <w:r>
        <w:rPr>
          <w:noProof/>
        </w:rPr>
        <w:t>2.1   Acts &amp; Regulations</w:t>
      </w:r>
      <w:r>
        <w:rPr>
          <w:noProof/>
        </w:rPr>
        <w:tab/>
      </w:r>
      <w:r>
        <w:rPr>
          <w:noProof/>
        </w:rPr>
        <w:fldChar w:fldCharType="begin"/>
      </w:r>
      <w:r>
        <w:rPr>
          <w:noProof/>
        </w:rPr>
        <w:instrText xml:space="preserve"> PAGEREF _Toc101438941 \h </w:instrText>
      </w:r>
      <w:r>
        <w:rPr>
          <w:noProof/>
        </w:rPr>
      </w:r>
      <w:r>
        <w:rPr>
          <w:noProof/>
        </w:rPr>
        <w:fldChar w:fldCharType="separate"/>
      </w:r>
      <w:r>
        <w:rPr>
          <w:noProof/>
        </w:rPr>
        <w:t>7</w:t>
      </w:r>
      <w:r>
        <w:rPr>
          <w:noProof/>
        </w:rPr>
        <w:fldChar w:fldCharType="end"/>
      </w:r>
    </w:p>
    <w:p w14:paraId="4A9E5489" w14:textId="42E2B2DB" w:rsidR="00AB3A98" w:rsidRDefault="00AB3A98">
      <w:pPr>
        <w:pStyle w:val="TOC2"/>
        <w:rPr>
          <w:rFonts w:asciiTheme="minorHAnsi" w:eastAsiaTheme="minorEastAsia" w:hAnsiTheme="minorHAnsi" w:cstheme="minorBidi"/>
          <w:noProof/>
          <w:sz w:val="22"/>
          <w:szCs w:val="22"/>
        </w:rPr>
      </w:pPr>
      <w:r>
        <w:rPr>
          <w:noProof/>
        </w:rPr>
        <w:t>2.2   National &amp; International Guidance Materials, Standards and Codes of Practise.</w:t>
      </w:r>
      <w:r>
        <w:rPr>
          <w:noProof/>
        </w:rPr>
        <w:tab/>
      </w:r>
      <w:r>
        <w:rPr>
          <w:noProof/>
        </w:rPr>
        <w:fldChar w:fldCharType="begin"/>
      </w:r>
      <w:r>
        <w:rPr>
          <w:noProof/>
        </w:rPr>
        <w:instrText xml:space="preserve"> PAGEREF _Toc101438942 \h </w:instrText>
      </w:r>
      <w:r>
        <w:rPr>
          <w:noProof/>
        </w:rPr>
      </w:r>
      <w:r>
        <w:rPr>
          <w:noProof/>
        </w:rPr>
        <w:fldChar w:fldCharType="separate"/>
      </w:r>
      <w:r>
        <w:rPr>
          <w:noProof/>
        </w:rPr>
        <w:t>8</w:t>
      </w:r>
      <w:r>
        <w:rPr>
          <w:noProof/>
        </w:rPr>
        <w:fldChar w:fldCharType="end"/>
      </w:r>
    </w:p>
    <w:p w14:paraId="371DFA97" w14:textId="159B51CD" w:rsidR="00AB3A98" w:rsidRDefault="00AB3A98">
      <w:pPr>
        <w:pStyle w:val="TOC2"/>
        <w:rPr>
          <w:rFonts w:asciiTheme="minorHAnsi" w:eastAsiaTheme="minorEastAsia" w:hAnsiTheme="minorHAnsi" w:cstheme="minorBidi"/>
          <w:noProof/>
          <w:sz w:val="22"/>
          <w:szCs w:val="22"/>
        </w:rPr>
      </w:pPr>
      <w:r>
        <w:rPr>
          <w:noProof/>
        </w:rPr>
        <w:t>2.3   Australian Standards</w:t>
      </w:r>
      <w:r>
        <w:rPr>
          <w:noProof/>
        </w:rPr>
        <w:tab/>
      </w:r>
      <w:r>
        <w:rPr>
          <w:noProof/>
        </w:rPr>
        <w:fldChar w:fldCharType="begin"/>
      </w:r>
      <w:r>
        <w:rPr>
          <w:noProof/>
        </w:rPr>
        <w:instrText xml:space="preserve"> PAGEREF _Toc101438943 \h </w:instrText>
      </w:r>
      <w:r>
        <w:rPr>
          <w:noProof/>
        </w:rPr>
      </w:r>
      <w:r>
        <w:rPr>
          <w:noProof/>
        </w:rPr>
        <w:fldChar w:fldCharType="separate"/>
      </w:r>
      <w:r>
        <w:rPr>
          <w:noProof/>
        </w:rPr>
        <w:t>8</w:t>
      </w:r>
      <w:r>
        <w:rPr>
          <w:noProof/>
        </w:rPr>
        <w:fldChar w:fldCharType="end"/>
      </w:r>
    </w:p>
    <w:p w14:paraId="14233F23" w14:textId="056E828C" w:rsidR="00AB3A98" w:rsidRDefault="00AB3A98">
      <w:pPr>
        <w:pStyle w:val="TOC2"/>
        <w:rPr>
          <w:rFonts w:asciiTheme="minorHAnsi" w:eastAsiaTheme="minorEastAsia" w:hAnsiTheme="minorHAnsi" w:cstheme="minorBidi"/>
          <w:noProof/>
          <w:sz w:val="22"/>
          <w:szCs w:val="22"/>
        </w:rPr>
      </w:pPr>
      <w:r>
        <w:rPr>
          <w:noProof/>
        </w:rPr>
        <w:t>2.4   Additional Approvals, Permits &amp; Licensing.</w:t>
      </w:r>
      <w:r>
        <w:rPr>
          <w:noProof/>
        </w:rPr>
        <w:tab/>
      </w:r>
      <w:r>
        <w:rPr>
          <w:noProof/>
        </w:rPr>
        <w:fldChar w:fldCharType="begin"/>
      </w:r>
      <w:r>
        <w:rPr>
          <w:noProof/>
        </w:rPr>
        <w:instrText xml:space="preserve"> PAGEREF _Toc101438944 \h </w:instrText>
      </w:r>
      <w:r>
        <w:rPr>
          <w:noProof/>
        </w:rPr>
      </w:r>
      <w:r>
        <w:rPr>
          <w:noProof/>
        </w:rPr>
        <w:fldChar w:fldCharType="separate"/>
      </w:r>
      <w:r>
        <w:rPr>
          <w:noProof/>
        </w:rPr>
        <w:t>9</w:t>
      </w:r>
      <w:r>
        <w:rPr>
          <w:noProof/>
        </w:rPr>
        <w:fldChar w:fldCharType="end"/>
      </w:r>
    </w:p>
    <w:p w14:paraId="2739D1BF" w14:textId="3EA86D4A" w:rsidR="00AB3A98" w:rsidRDefault="00AB3A98">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Signage &amp; Placarding</w:t>
      </w:r>
      <w:r>
        <w:rPr>
          <w:noProof/>
        </w:rPr>
        <w:tab/>
      </w:r>
      <w:r>
        <w:rPr>
          <w:noProof/>
        </w:rPr>
        <w:fldChar w:fldCharType="begin"/>
      </w:r>
      <w:r>
        <w:rPr>
          <w:noProof/>
        </w:rPr>
        <w:instrText xml:space="preserve"> PAGEREF _Toc101438945 \h </w:instrText>
      </w:r>
      <w:r>
        <w:rPr>
          <w:noProof/>
        </w:rPr>
      </w:r>
      <w:r>
        <w:rPr>
          <w:noProof/>
        </w:rPr>
        <w:fldChar w:fldCharType="separate"/>
      </w:r>
      <w:r>
        <w:rPr>
          <w:noProof/>
        </w:rPr>
        <w:t>9</w:t>
      </w:r>
      <w:r>
        <w:rPr>
          <w:noProof/>
        </w:rPr>
        <w:fldChar w:fldCharType="end"/>
      </w:r>
    </w:p>
    <w:p w14:paraId="7030506B" w14:textId="1AF2787E" w:rsidR="00AB3A98" w:rsidRDefault="00AB3A98">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Preparation for Work</w:t>
      </w:r>
      <w:r>
        <w:rPr>
          <w:noProof/>
        </w:rPr>
        <w:tab/>
      </w:r>
      <w:r>
        <w:rPr>
          <w:noProof/>
        </w:rPr>
        <w:fldChar w:fldCharType="begin"/>
      </w:r>
      <w:r>
        <w:rPr>
          <w:noProof/>
        </w:rPr>
        <w:instrText xml:space="preserve"> PAGEREF _Toc101438946 \h </w:instrText>
      </w:r>
      <w:r>
        <w:rPr>
          <w:noProof/>
        </w:rPr>
      </w:r>
      <w:r>
        <w:rPr>
          <w:noProof/>
        </w:rPr>
        <w:fldChar w:fldCharType="separate"/>
      </w:r>
      <w:r>
        <w:rPr>
          <w:noProof/>
        </w:rPr>
        <w:t>10</w:t>
      </w:r>
      <w:r>
        <w:rPr>
          <w:noProof/>
        </w:rPr>
        <w:fldChar w:fldCharType="end"/>
      </w:r>
    </w:p>
    <w:p w14:paraId="088A1661" w14:textId="740C3CDE" w:rsidR="00AB3A98" w:rsidRDefault="00AB3A98">
      <w:pPr>
        <w:pStyle w:val="TOC2"/>
        <w:rPr>
          <w:rFonts w:asciiTheme="minorHAnsi" w:eastAsiaTheme="minorEastAsia" w:hAnsiTheme="minorHAnsi" w:cstheme="minorBidi"/>
          <w:noProof/>
          <w:sz w:val="22"/>
          <w:szCs w:val="22"/>
        </w:rPr>
      </w:pPr>
      <w:r>
        <w:rPr>
          <w:noProof/>
        </w:rPr>
        <w:t>4.1   Training &amp; Induction</w:t>
      </w:r>
      <w:r>
        <w:rPr>
          <w:noProof/>
        </w:rPr>
        <w:tab/>
      </w:r>
      <w:r>
        <w:rPr>
          <w:noProof/>
        </w:rPr>
        <w:fldChar w:fldCharType="begin"/>
      </w:r>
      <w:r>
        <w:rPr>
          <w:noProof/>
        </w:rPr>
        <w:instrText xml:space="preserve"> PAGEREF _Toc101438947 \h </w:instrText>
      </w:r>
      <w:r>
        <w:rPr>
          <w:noProof/>
        </w:rPr>
      </w:r>
      <w:r>
        <w:rPr>
          <w:noProof/>
        </w:rPr>
        <w:fldChar w:fldCharType="separate"/>
      </w:r>
      <w:r>
        <w:rPr>
          <w:noProof/>
        </w:rPr>
        <w:t>10</w:t>
      </w:r>
      <w:r>
        <w:rPr>
          <w:noProof/>
        </w:rPr>
        <w:fldChar w:fldCharType="end"/>
      </w:r>
    </w:p>
    <w:p w14:paraId="3489444E" w14:textId="37ECF0BD" w:rsidR="00AB3A98" w:rsidRDefault="00AB3A98">
      <w:pPr>
        <w:pStyle w:val="TOC2"/>
        <w:rPr>
          <w:rFonts w:asciiTheme="minorHAnsi" w:eastAsiaTheme="minorEastAsia" w:hAnsiTheme="minorHAnsi" w:cstheme="minorBidi"/>
          <w:noProof/>
          <w:sz w:val="22"/>
          <w:szCs w:val="22"/>
        </w:rPr>
      </w:pPr>
      <w:r>
        <w:rPr>
          <w:noProof/>
        </w:rPr>
        <w:t>4.2   Personal Hygiene</w:t>
      </w:r>
      <w:r>
        <w:rPr>
          <w:noProof/>
        </w:rPr>
        <w:tab/>
      </w:r>
      <w:r>
        <w:rPr>
          <w:noProof/>
        </w:rPr>
        <w:fldChar w:fldCharType="begin"/>
      </w:r>
      <w:r>
        <w:rPr>
          <w:noProof/>
        </w:rPr>
        <w:instrText xml:space="preserve"> PAGEREF _Toc101438948 \h </w:instrText>
      </w:r>
      <w:r>
        <w:rPr>
          <w:noProof/>
        </w:rPr>
      </w:r>
      <w:r>
        <w:rPr>
          <w:noProof/>
        </w:rPr>
        <w:fldChar w:fldCharType="separate"/>
      </w:r>
      <w:r>
        <w:rPr>
          <w:noProof/>
        </w:rPr>
        <w:t>10</w:t>
      </w:r>
      <w:r>
        <w:rPr>
          <w:noProof/>
        </w:rPr>
        <w:fldChar w:fldCharType="end"/>
      </w:r>
    </w:p>
    <w:p w14:paraId="110E3F9A" w14:textId="70B269D8" w:rsidR="00AB3A98" w:rsidRDefault="00AB3A98">
      <w:pPr>
        <w:pStyle w:val="TOC2"/>
        <w:rPr>
          <w:rFonts w:asciiTheme="minorHAnsi" w:eastAsiaTheme="minorEastAsia" w:hAnsiTheme="minorHAnsi" w:cstheme="minorBidi"/>
          <w:noProof/>
          <w:sz w:val="22"/>
          <w:szCs w:val="22"/>
        </w:rPr>
      </w:pPr>
      <w:r>
        <w:rPr>
          <w:noProof/>
        </w:rPr>
        <w:t>4.3   Family planning and early child care</w:t>
      </w:r>
      <w:r>
        <w:rPr>
          <w:noProof/>
        </w:rPr>
        <w:tab/>
      </w:r>
      <w:r>
        <w:rPr>
          <w:noProof/>
        </w:rPr>
        <w:fldChar w:fldCharType="begin"/>
      </w:r>
      <w:r>
        <w:rPr>
          <w:noProof/>
        </w:rPr>
        <w:instrText xml:space="preserve"> PAGEREF _Toc101438949 \h </w:instrText>
      </w:r>
      <w:r>
        <w:rPr>
          <w:noProof/>
        </w:rPr>
      </w:r>
      <w:r>
        <w:rPr>
          <w:noProof/>
        </w:rPr>
        <w:fldChar w:fldCharType="separate"/>
      </w:r>
      <w:r>
        <w:rPr>
          <w:noProof/>
        </w:rPr>
        <w:t>11</w:t>
      </w:r>
      <w:r>
        <w:rPr>
          <w:noProof/>
        </w:rPr>
        <w:fldChar w:fldCharType="end"/>
      </w:r>
    </w:p>
    <w:p w14:paraId="6AAAB38F" w14:textId="3E4DFDFB" w:rsidR="00AB3A98" w:rsidRDefault="00AB3A98">
      <w:pPr>
        <w:pStyle w:val="TOC2"/>
        <w:rPr>
          <w:rFonts w:asciiTheme="minorHAnsi" w:eastAsiaTheme="minorEastAsia" w:hAnsiTheme="minorHAnsi" w:cstheme="minorBidi"/>
          <w:noProof/>
          <w:sz w:val="22"/>
          <w:szCs w:val="22"/>
        </w:rPr>
      </w:pPr>
      <w:r>
        <w:rPr>
          <w:noProof/>
        </w:rPr>
        <w:t>4.4   Chemical Handling</w:t>
      </w:r>
      <w:r>
        <w:rPr>
          <w:noProof/>
        </w:rPr>
        <w:tab/>
      </w:r>
      <w:r>
        <w:rPr>
          <w:noProof/>
        </w:rPr>
        <w:fldChar w:fldCharType="begin"/>
      </w:r>
      <w:r>
        <w:rPr>
          <w:noProof/>
        </w:rPr>
        <w:instrText xml:space="preserve"> PAGEREF _Toc101438950 \h </w:instrText>
      </w:r>
      <w:r>
        <w:rPr>
          <w:noProof/>
        </w:rPr>
      </w:r>
      <w:r>
        <w:rPr>
          <w:noProof/>
        </w:rPr>
        <w:fldChar w:fldCharType="separate"/>
      </w:r>
      <w:r>
        <w:rPr>
          <w:noProof/>
        </w:rPr>
        <w:t>11</w:t>
      </w:r>
      <w:r>
        <w:rPr>
          <w:noProof/>
        </w:rPr>
        <w:fldChar w:fldCharType="end"/>
      </w:r>
    </w:p>
    <w:p w14:paraId="31B77321" w14:textId="58BB827D" w:rsidR="00AB3A98" w:rsidRDefault="00AB3A98">
      <w:pPr>
        <w:pStyle w:val="TOC1"/>
        <w:rPr>
          <w:rFonts w:asciiTheme="minorHAnsi" w:eastAsiaTheme="minorEastAsia" w:hAnsiTheme="minorHAnsi" w:cstheme="minorBidi"/>
          <w:noProof/>
          <w:sz w:val="22"/>
          <w:szCs w:val="22"/>
        </w:rPr>
      </w:pPr>
      <w:r>
        <w:rPr>
          <w:noProof/>
        </w:rPr>
        <w:t xml:space="preserve">5. </w:t>
      </w:r>
      <w:r>
        <w:rPr>
          <w:rFonts w:asciiTheme="minorHAnsi" w:eastAsiaTheme="minorEastAsia" w:hAnsiTheme="minorHAnsi" w:cstheme="minorBidi"/>
          <w:noProof/>
          <w:sz w:val="22"/>
          <w:szCs w:val="22"/>
        </w:rPr>
        <w:tab/>
      </w:r>
      <w:r>
        <w:rPr>
          <w:noProof/>
        </w:rPr>
        <w:t>Safety Data Sheets</w:t>
      </w:r>
      <w:r>
        <w:rPr>
          <w:noProof/>
        </w:rPr>
        <w:tab/>
      </w:r>
      <w:r>
        <w:rPr>
          <w:noProof/>
        </w:rPr>
        <w:fldChar w:fldCharType="begin"/>
      </w:r>
      <w:r>
        <w:rPr>
          <w:noProof/>
        </w:rPr>
        <w:instrText xml:space="preserve"> PAGEREF _Toc101438951 \h </w:instrText>
      </w:r>
      <w:r>
        <w:rPr>
          <w:noProof/>
        </w:rPr>
      </w:r>
      <w:r>
        <w:rPr>
          <w:noProof/>
        </w:rPr>
        <w:fldChar w:fldCharType="separate"/>
      </w:r>
      <w:r>
        <w:rPr>
          <w:noProof/>
        </w:rPr>
        <w:t>12</w:t>
      </w:r>
      <w:r>
        <w:rPr>
          <w:noProof/>
        </w:rPr>
        <w:fldChar w:fldCharType="end"/>
      </w:r>
    </w:p>
    <w:p w14:paraId="65C88E54" w14:textId="3EBCDFA0" w:rsidR="00AB3A98" w:rsidRDefault="00AB3A98">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ChemAlert</w:t>
      </w:r>
      <w:r>
        <w:rPr>
          <w:noProof/>
        </w:rPr>
        <w:tab/>
      </w:r>
      <w:r>
        <w:rPr>
          <w:noProof/>
        </w:rPr>
        <w:fldChar w:fldCharType="begin"/>
      </w:r>
      <w:r>
        <w:rPr>
          <w:noProof/>
        </w:rPr>
        <w:instrText xml:space="preserve"> PAGEREF _Toc101438952 \h </w:instrText>
      </w:r>
      <w:r>
        <w:rPr>
          <w:noProof/>
        </w:rPr>
      </w:r>
      <w:r>
        <w:rPr>
          <w:noProof/>
        </w:rPr>
        <w:fldChar w:fldCharType="separate"/>
      </w:r>
      <w:r>
        <w:rPr>
          <w:noProof/>
        </w:rPr>
        <w:t>13</w:t>
      </w:r>
      <w:r>
        <w:rPr>
          <w:noProof/>
        </w:rPr>
        <w:fldChar w:fldCharType="end"/>
      </w:r>
    </w:p>
    <w:p w14:paraId="5A092872" w14:textId="05383254" w:rsidR="00AB3A98" w:rsidRDefault="00AB3A98">
      <w:pPr>
        <w:pStyle w:val="TOC2"/>
        <w:rPr>
          <w:rFonts w:asciiTheme="minorHAnsi" w:eastAsiaTheme="minorEastAsia" w:hAnsiTheme="minorHAnsi" w:cstheme="minorBidi"/>
          <w:noProof/>
          <w:sz w:val="22"/>
          <w:szCs w:val="22"/>
        </w:rPr>
      </w:pPr>
      <w:r>
        <w:rPr>
          <w:noProof/>
        </w:rPr>
        <w:t>6.1   Electronic Chemical Management System</w:t>
      </w:r>
      <w:r>
        <w:rPr>
          <w:noProof/>
        </w:rPr>
        <w:tab/>
      </w:r>
      <w:r>
        <w:rPr>
          <w:noProof/>
        </w:rPr>
        <w:fldChar w:fldCharType="begin"/>
      </w:r>
      <w:r>
        <w:rPr>
          <w:noProof/>
        </w:rPr>
        <w:instrText xml:space="preserve"> PAGEREF _Toc101438953 \h </w:instrText>
      </w:r>
      <w:r>
        <w:rPr>
          <w:noProof/>
        </w:rPr>
      </w:r>
      <w:r>
        <w:rPr>
          <w:noProof/>
        </w:rPr>
        <w:fldChar w:fldCharType="separate"/>
      </w:r>
      <w:r>
        <w:rPr>
          <w:noProof/>
        </w:rPr>
        <w:t>13</w:t>
      </w:r>
      <w:r>
        <w:rPr>
          <w:noProof/>
        </w:rPr>
        <w:fldChar w:fldCharType="end"/>
      </w:r>
    </w:p>
    <w:p w14:paraId="2C6187E4" w14:textId="48D721FA" w:rsidR="00AB3A98" w:rsidRDefault="00AB3A98">
      <w:pPr>
        <w:pStyle w:val="TOC2"/>
        <w:rPr>
          <w:rFonts w:asciiTheme="minorHAnsi" w:eastAsiaTheme="minorEastAsia" w:hAnsiTheme="minorHAnsi" w:cstheme="minorBidi"/>
          <w:noProof/>
          <w:sz w:val="22"/>
          <w:szCs w:val="22"/>
        </w:rPr>
      </w:pPr>
      <w:r>
        <w:rPr>
          <w:noProof/>
        </w:rPr>
        <w:t>6.2   Chemical Holdings</w:t>
      </w:r>
      <w:r>
        <w:rPr>
          <w:noProof/>
        </w:rPr>
        <w:tab/>
      </w:r>
      <w:r>
        <w:rPr>
          <w:noProof/>
        </w:rPr>
        <w:fldChar w:fldCharType="begin"/>
      </w:r>
      <w:r>
        <w:rPr>
          <w:noProof/>
        </w:rPr>
        <w:instrText xml:space="preserve"> PAGEREF _Toc101438954 \h </w:instrText>
      </w:r>
      <w:r>
        <w:rPr>
          <w:noProof/>
        </w:rPr>
      </w:r>
      <w:r>
        <w:rPr>
          <w:noProof/>
        </w:rPr>
        <w:fldChar w:fldCharType="separate"/>
      </w:r>
      <w:r>
        <w:rPr>
          <w:noProof/>
        </w:rPr>
        <w:t>14</w:t>
      </w:r>
      <w:r>
        <w:rPr>
          <w:noProof/>
        </w:rPr>
        <w:fldChar w:fldCharType="end"/>
      </w:r>
    </w:p>
    <w:p w14:paraId="34A6ED93" w14:textId="13CDFEC9" w:rsidR="00AB3A98" w:rsidRDefault="00AB3A98">
      <w:pPr>
        <w:pStyle w:val="TOC2"/>
        <w:rPr>
          <w:rFonts w:asciiTheme="minorHAnsi" w:eastAsiaTheme="minorEastAsia" w:hAnsiTheme="minorHAnsi" w:cstheme="minorBidi"/>
          <w:noProof/>
          <w:sz w:val="22"/>
          <w:szCs w:val="22"/>
        </w:rPr>
      </w:pPr>
      <w:r>
        <w:rPr>
          <w:noProof/>
        </w:rPr>
        <w:t>6.3   Other ChemAlert Functions</w:t>
      </w:r>
      <w:r>
        <w:rPr>
          <w:noProof/>
        </w:rPr>
        <w:tab/>
      </w:r>
      <w:r>
        <w:rPr>
          <w:noProof/>
        </w:rPr>
        <w:fldChar w:fldCharType="begin"/>
      </w:r>
      <w:r>
        <w:rPr>
          <w:noProof/>
        </w:rPr>
        <w:instrText xml:space="preserve"> PAGEREF _Toc101438955 \h </w:instrText>
      </w:r>
      <w:r>
        <w:rPr>
          <w:noProof/>
        </w:rPr>
      </w:r>
      <w:r>
        <w:rPr>
          <w:noProof/>
        </w:rPr>
        <w:fldChar w:fldCharType="separate"/>
      </w:r>
      <w:r>
        <w:rPr>
          <w:noProof/>
        </w:rPr>
        <w:t>14</w:t>
      </w:r>
      <w:r>
        <w:rPr>
          <w:noProof/>
        </w:rPr>
        <w:fldChar w:fldCharType="end"/>
      </w:r>
    </w:p>
    <w:p w14:paraId="02F4FFA4" w14:textId="35BD8731" w:rsidR="00AB3A98" w:rsidRDefault="00AB3A98">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Risk Assessment of Tasks involving Chemicals</w:t>
      </w:r>
      <w:r>
        <w:rPr>
          <w:noProof/>
        </w:rPr>
        <w:tab/>
      </w:r>
      <w:r>
        <w:rPr>
          <w:noProof/>
        </w:rPr>
        <w:fldChar w:fldCharType="begin"/>
      </w:r>
      <w:r>
        <w:rPr>
          <w:noProof/>
        </w:rPr>
        <w:instrText xml:space="preserve"> PAGEREF _Toc101438956 \h </w:instrText>
      </w:r>
      <w:r>
        <w:rPr>
          <w:noProof/>
        </w:rPr>
      </w:r>
      <w:r>
        <w:rPr>
          <w:noProof/>
        </w:rPr>
        <w:fldChar w:fldCharType="separate"/>
      </w:r>
      <w:r>
        <w:rPr>
          <w:noProof/>
        </w:rPr>
        <w:t>14</w:t>
      </w:r>
      <w:r>
        <w:rPr>
          <w:noProof/>
        </w:rPr>
        <w:fldChar w:fldCharType="end"/>
      </w:r>
    </w:p>
    <w:p w14:paraId="0BFFE4E3" w14:textId="26277A32" w:rsidR="00AB3A98" w:rsidRDefault="00AB3A98">
      <w:pPr>
        <w:pStyle w:val="TOC2"/>
        <w:rPr>
          <w:rFonts w:asciiTheme="minorHAnsi" w:eastAsiaTheme="minorEastAsia" w:hAnsiTheme="minorHAnsi" w:cstheme="minorBidi"/>
          <w:noProof/>
          <w:sz w:val="22"/>
          <w:szCs w:val="22"/>
        </w:rPr>
      </w:pPr>
      <w:r>
        <w:rPr>
          <w:noProof/>
        </w:rPr>
        <w:t>7.1   General Information</w:t>
      </w:r>
      <w:r>
        <w:rPr>
          <w:noProof/>
        </w:rPr>
        <w:tab/>
      </w:r>
      <w:r>
        <w:rPr>
          <w:noProof/>
        </w:rPr>
        <w:fldChar w:fldCharType="begin"/>
      </w:r>
      <w:r>
        <w:rPr>
          <w:noProof/>
        </w:rPr>
        <w:instrText xml:space="preserve"> PAGEREF _Toc101438957 \h </w:instrText>
      </w:r>
      <w:r>
        <w:rPr>
          <w:noProof/>
        </w:rPr>
      </w:r>
      <w:r>
        <w:rPr>
          <w:noProof/>
        </w:rPr>
        <w:fldChar w:fldCharType="separate"/>
      </w:r>
      <w:r>
        <w:rPr>
          <w:noProof/>
        </w:rPr>
        <w:t>14</w:t>
      </w:r>
      <w:r>
        <w:rPr>
          <w:noProof/>
        </w:rPr>
        <w:fldChar w:fldCharType="end"/>
      </w:r>
    </w:p>
    <w:p w14:paraId="72FC95AE" w14:textId="5A13666C" w:rsidR="00AB3A98" w:rsidRDefault="00AB3A98">
      <w:pPr>
        <w:pStyle w:val="TOC2"/>
        <w:rPr>
          <w:rFonts w:asciiTheme="minorHAnsi" w:eastAsiaTheme="minorEastAsia" w:hAnsiTheme="minorHAnsi" w:cstheme="minorBidi"/>
          <w:noProof/>
          <w:sz w:val="22"/>
          <w:szCs w:val="22"/>
        </w:rPr>
      </w:pPr>
      <w:r>
        <w:rPr>
          <w:noProof/>
        </w:rPr>
        <w:t>7.2   Roles and Responsibilities</w:t>
      </w:r>
      <w:r>
        <w:rPr>
          <w:noProof/>
        </w:rPr>
        <w:tab/>
      </w:r>
      <w:r>
        <w:rPr>
          <w:noProof/>
        </w:rPr>
        <w:fldChar w:fldCharType="begin"/>
      </w:r>
      <w:r>
        <w:rPr>
          <w:noProof/>
        </w:rPr>
        <w:instrText xml:space="preserve"> PAGEREF _Toc101438958 \h </w:instrText>
      </w:r>
      <w:r>
        <w:rPr>
          <w:noProof/>
        </w:rPr>
      </w:r>
      <w:r>
        <w:rPr>
          <w:noProof/>
        </w:rPr>
        <w:fldChar w:fldCharType="separate"/>
      </w:r>
      <w:r>
        <w:rPr>
          <w:noProof/>
        </w:rPr>
        <w:t>14</w:t>
      </w:r>
      <w:r>
        <w:rPr>
          <w:noProof/>
        </w:rPr>
        <w:fldChar w:fldCharType="end"/>
      </w:r>
    </w:p>
    <w:p w14:paraId="5F073467" w14:textId="0C1E8594" w:rsidR="00AB3A98" w:rsidRDefault="00AB3A98">
      <w:pPr>
        <w:pStyle w:val="TOC2"/>
        <w:rPr>
          <w:rFonts w:asciiTheme="minorHAnsi" w:eastAsiaTheme="minorEastAsia" w:hAnsiTheme="minorHAnsi" w:cstheme="minorBidi"/>
          <w:noProof/>
          <w:sz w:val="22"/>
          <w:szCs w:val="22"/>
        </w:rPr>
      </w:pPr>
      <w:r>
        <w:rPr>
          <w:noProof/>
        </w:rPr>
        <w:t>7.3   Review of Chemical Task Risk Assessment</w:t>
      </w:r>
      <w:r>
        <w:rPr>
          <w:noProof/>
        </w:rPr>
        <w:tab/>
      </w:r>
      <w:r>
        <w:rPr>
          <w:noProof/>
        </w:rPr>
        <w:fldChar w:fldCharType="begin"/>
      </w:r>
      <w:r>
        <w:rPr>
          <w:noProof/>
        </w:rPr>
        <w:instrText xml:space="preserve"> PAGEREF _Toc101438959 \h </w:instrText>
      </w:r>
      <w:r>
        <w:rPr>
          <w:noProof/>
        </w:rPr>
      </w:r>
      <w:r>
        <w:rPr>
          <w:noProof/>
        </w:rPr>
        <w:fldChar w:fldCharType="separate"/>
      </w:r>
      <w:r>
        <w:rPr>
          <w:noProof/>
        </w:rPr>
        <w:t>15</w:t>
      </w:r>
      <w:r>
        <w:rPr>
          <w:noProof/>
        </w:rPr>
        <w:fldChar w:fldCharType="end"/>
      </w:r>
    </w:p>
    <w:p w14:paraId="32723C3E" w14:textId="6562CB68" w:rsidR="00AB3A98" w:rsidRDefault="00AB3A98">
      <w:pPr>
        <w:pStyle w:val="TOC2"/>
        <w:rPr>
          <w:rFonts w:asciiTheme="minorHAnsi" w:eastAsiaTheme="minorEastAsia" w:hAnsiTheme="minorHAnsi" w:cstheme="minorBidi"/>
          <w:noProof/>
          <w:sz w:val="22"/>
          <w:szCs w:val="22"/>
        </w:rPr>
      </w:pPr>
      <w:r>
        <w:rPr>
          <w:noProof/>
        </w:rPr>
        <w:t>7.4   Health and Hygiene Management Plan</w:t>
      </w:r>
      <w:r>
        <w:rPr>
          <w:noProof/>
        </w:rPr>
        <w:tab/>
      </w:r>
      <w:r>
        <w:rPr>
          <w:noProof/>
        </w:rPr>
        <w:fldChar w:fldCharType="begin"/>
      </w:r>
      <w:r>
        <w:rPr>
          <w:noProof/>
        </w:rPr>
        <w:instrText xml:space="preserve"> PAGEREF _Toc101438960 \h </w:instrText>
      </w:r>
      <w:r>
        <w:rPr>
          <w:noProof/>
        </w:rPr>
      </w:r>
      <w:r>
        <w:rPr>
          <w:noProof/>
        </w:rPr>
        <w:fldChar w:fldCharType="separate"/>
      </w:r>
      <w:r>
        <w:rPr>
          <w:noProof/>
        </w:rPr>
        <w:t>15</w:t>
      </w:r>
      <w:r>
        <w:rPr>
          <w:noProof/>
        </w:rPr>
        <w:fldChar w:fldCharType="end"/>
      </w:r>
    </w:p>
    <w:p w14:paraId="637DF4C8" w14:textId="02531AF9" w:rsidR="00AB3A98" w:rsidRDefault="00AB3A98">
      <w:pPr>
        <w:pStyle w:val="TOC2"/>
        <w:rPr>
          <w:rFonts w:asciiTheme="minorHAnsi" w:eastAsiaTheme="minorEastAsia" w:hAnsiTheme="minorHAnsi" w:cstheme="minorBidi"/>
          <w:noProof/>
          <w:sz w:val="22"/>
          <w:szCs w:val="22"/>
        </w:rPr>
      </w:pPr>
      <w:r>
        <w:rPr>
          <w:noProof/>
        </w:rPr>
        <w:t>7.5   Health Surveillance</w:t>
      </w:r>
      <w:r>
        <w:rPr>
          <w:noProof/>
        </w:rPr>
        <w:tab/>
      </w:r>
      <w:r>
        <w:rPr>
          <w:noProof/>
        </w:rPr>
        <w:fldChar w:fldCharType="begin"/>
      </w:r>
      <w:r>
        <w:rPr>
          <w:noProof/>
        </w:rPr>
        <w:instrText xml:space="preserve"> PAGEREF _Toc101438961 \h </w:instrText>
      </w:r>
      <w:r>
        <w:rPr>
          <w:noProof/>
        </w:rPr>
      </w:r>
      <w:r>
        <w:rPr>
          <w:noProof/>
        </w:rPr>
        <w:fldChar w:fldCharType="separate"/>
      </w:r>
      <w:r>
        <w:rPr>
          <w:noProof/>
        </w:rPr>
        <w:t>15</w:t>
      </w:r>
      <w:r>
        <w:rPr>
          <w:noProof/>
        </w:rPr>
        <w:fldChar w:fldCharType="end"/>
      </w:r>
    </w:p>
    <w:p w14:paraId="722489D3" w14:textId="71D59BBB" w:rsidR="00AB3A98" w:rsidRDefault="00AB3A98">
      <w:pPr>
        <w:pStyle w:val="TOC2"/>
        <w:rPr>
          <w:rFonts w:asciiTheme="minorHAnsi" w:eastAsiaTheme="minorEastAsia" w:hAnsiTheme="minorHAnsi" w:cstheme="minorBidi"/>
          <w:noProof/>
          <w:sz w:val="22"/>
          <w:szCs w:val="22"/>
        </w:rPr>
      </w:pPr>
      <w:r>
        <w:rPr>
          <w:noProof/>
        </w:rPr>
        <w:t>7.6   Fieldwork</w:t>
      </w:r>
      <w:r>
        <w:rPr>
          <w:noProof/>
        </w:rPr>
        <w:tab/>
      </w:r>
      <w:r>
        <w:rPr>
          <w:noProof/>
        </w:rPr>
        <w:fldChar w:fldCharType="begin"/>
      </w:r>
      <w:r>
        <w:rPr>
          <w:noProof/>
        </w:rPr>
        <w:instrText xml:space="preserve"> PAGEREF _Toc101438962 \h </w:instrText>
      </w:r>
      <w:r>
        <w:rPr>
          <w:noProof/>
        </w:rPr>
      </w:r>
      <w:r>
        <w:rPr>
          <w:noProof/>
        </w:rPr>
        <w:fldChar w:fldCharType="separate"/>
      </w:r>
      <w:r>
        <w:rPr>
          <w:noProof/>
        </w:rPr>
        <w:t>15</w:t>
      </w:r>
      <w:r>
        <w:rPr>
          <w:noProof/>
        </w:rPr>
        <w:fldChar w:fldCharType="end"/>
      </w:r>
    </w:p>
    <w:p w14:paraId="7EC85670" w14:textId="4235F952" w:rsidR="00AB3A98" w:rsidRDefault="00AB3A98">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Purchase</w:t>
      </w:r>
      <w:r>
        <w:rPr>
          <w:noProof/>
        </w:rPr>
        <w:tab/>
      </w:r>
      <w:r>
        <w:rPr>
          <w:noProof/>
        </w:rPr>
        <w:fldChar w:fldCharType="begin"/>
      </w:r>
      <w:r>
        <w:rPr>
          <w:noProof/>
        </w:rPr>
        <w:instrText xml:space="preserve"> PAGEREF _Toc101438963 \h </w:instrText>
      </w:r>
      <w:r>
        <w:rPr>
          <w:noProof/>
        </w:rPr>
      </w:r>
      <w:r>
        <w:rPr>
          <w:noProof/>
        </w:rPr>
        <w:fldChar w:fldCharType="separate"/>
      </w:r>
      <w:r>
        <w:rPr>
          <w:noProof/>
        </w:rPr>
        <w:t>15</w:t>
      </w:r>
      <w:r>
        <w:rPr>
          <w:noProof/>
        </w:rPr>
        <w:fldChar w:fldCharType="end"/>
      </w:r>
    </w:p>
    <w:p w14:paraId="66A91161" w14:textId="1710B4B7" w:rsidR="00AB3A98" w:rsidRDefault="00AB3A98">
      <w:pPr>
        <w:pStyle w:val="TOC2"/>
        <w:rPr>
          <w:rFonts w:asciiTheme="minorHAnsi" w:eastAsiaTheme="minorEastAsia" w:hAnsiTheme="minorHAnsi" w:cstheme="minorBidi"/>
          <w:noProof/>
          <w:sz w:val="22"/>
          <w:szCs w:val="22"/>
        </w:rPr>
      </w:pPr>
      <w:r>
        <w:rPr>
          <w:noProof/>
        </w:rPr>
        <w:t>8.1   Chemical Pre-Purchase Checklist</w:t>
      </w:r>
      <w:r>
        <w:rPr>
          <w:noProof/>
        </w:rPr>
        <w:tab/>
      </w:r>
      <w:r>
        <w:rPr>
          <w:noProof/>
        </w:rPr>
        <w:fldChar w:fldCharType="begin"/>
      </w:r>
      <w:r>
        <w:rPr>
          <w:noProof/>
        </w:rPr>
        <w:instrText xml:space="preserve"> PAGEREF _Toc101438964 \h </w:instrText>
      </w:r>
      <w:r>
        <w:rPr>
          <w:noProof/>
        </w:rPr>
      </w:r>
      <w:r>
        <w:rPr>
          <w:noProof/>
        </w:rPr>
        <w:fldChar w:fldCharType="separate"/>
      </w:r>
      <w:r>
        <w:rPr>
          <w:noProof/>
        </w:rPr>
        <w:t>15</w:t>
      </w:r>
      <w:r>
        <w:rPr>
          <w:noProof/>
        </w:rPr>
        <w:fldChar w:fldCharType="end"/>
      </w:r>
    </w:p>
    <w:p w14:paraId="7F0C9877" w14:textId="28F38A75" w:rsidR="00AB3A98" w:rsidRDefault="00AB3A98">
      <w:pPr>
        <w:pStyle w:val="TOC2"/>
        <w:rPr>
          <w:rFonts w:asciiTheme="minorHAnsi" w:eastAsiaTheme="minorEastAsia" w:hAnsiTheme="minorHAnsi" w:cstheme="minorBidi"/>
          <w:noProof/>
          <w:sz w:val="22"/>
          <w:szCs w:val="22"/>
        </w:rPr>
      </w:pPr>
      <w:r>
        <w:rPr>
          <w:noProof/>
        </w:rPr>
        <w:lastRenderedPageBreak/>
        <w:t>8.2   Purchasing Chemicals from Overseas Suppliers</w:t>
      </w:r>
      <w:r>
        <w:rPr>
          <w:noProof/>
        </w:rPr>
        <w:tab/>
      </w:r>
      <w:r>
        <w:rPr>
          <w:noProof/>
        </w:rPr>
        <w:fldChar w:fldCharType="begin"/>
      </w:r>
      <w:r>
        <w:rPr>
          <w:noProof/>
        </w:rPr>
        <w:instrText xml:space="preserve"> PAGEREF _Toc101438965 \h </w:instrText>
      </w:r>
      <w:r>
        <w:rPr>
          <w:noProof/>
        </w:rPr>
      </w:r>
      <w:r>
        <w:rPr>
          <w:noProof/>
        </w:rPr>
        <w:fldChar w:fldCharType="separate"/>
      </w:r>
      <w:r>
        <w:rPr>
          <w:noProof/>
        </w:rPr>
        <w:t>16</w:t>
      </w:r>
      <w:r>
        <w:rPr>
          <w:noProof/>
        </w:rPr>
        <w:fldChar w:fldCharType="end"/>
      </w:r>
    </w:p>
    <w:p w14:paraId="21421275" w14:textId="29088672" w:rsidR="00AB3A98" w:rsidRDefault="00AB3A98">
      <w:pPr>
        <w:pStyle w:val="TOC2"/>
        <w:rPr>
          <w:rFonts w:asciiTheme="minorHAnsi" w:eastAsiaTheme="minorEastAsia" w:hAnsiTheme="minorHAnsi" w:cstheme="minorBidi"/>
          <w:noProof/>
          <w:sz w:val="22"/>
          <w:szCs w:val="22"/>
        </w:rPr>
      </w:pPr>
      <w:r>
        <w:rPr>
          <w:noProof/>
        </w:rPr>
        <w:t>8.3   Personal Acquisition or Supply</w:t>
      </w:r>
      <w:r>
        <w:rPr>
          <w:noProof/>
        </w:rPr>
        <w:tab/>
      </w:r>
      <w:r>
        <w:rPr>
          <w:noProof/>
        </w:rPr>
        <w:fldChar w:fldCharType="begin"/>
      </w:r>
      <w:r>
        <w:rPr>
          <w:noProof/>
        </w:rPr>
        <w:instrText xml:space="preserve"> PAGEREF _Toc101438966 \h </w:instrText>
      </w:r>
      <w:r>
        <w:rPr>
          <w:noProof/>
        </w:rPr>
      </w:r>
      <w:r>
        <w:rPr>
          <w:noProof/>
        </w:rPr>
        <w:fldChar w:fldCharType="separate"/>
      </w:r>
      <w:r>
        <w:rPr>
          <w:noProof/>
        </w:rPr>
        <w:t>16</w:t>
      </w:r>
      <w:r>
        <w:rPr>
          <w:noProof/>
        </w:rPr>
        <w:fldChar w:fldCharType="end"/>
      </w:r>
    </w:p>
    <w:p w14:paraId="7ECAC47A" w14:textId="3EEBEF49" w:rsidR="00AB3A98" w:rsidRDefault="00AB3A98">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Labelling</w:t>
      </w:r>
      <w:r>
        <w:rPr>
          <w:noProof/>
        </w:rPr>
        <w:tab/>
      </w:r>
      <w:r>
        <w:rPr>
          <w:noProof/>
        </w:rPr>
        <w:fldChar w:fldCharType="begin"/>
      </w:r>
      <w:r>
        <w:rPr>
          <w:noProof/>
        </w:rPr>
        <w:instrText xml:space="preserve"> PAGEREF _Toc101438967 \h </w:instrText>
      </w:r>
      <w:r>
        <w:rPr>
          <w:noProof/>
        </w:rPr>
      </w:r>
      <w:r>
        <w:rPr>
          <w:noProof/>
        </w:rPr>
        <w:fldChar w:fldCharType="separate"/>
      </w:r>
      <w:r>
        <w:rPr>
          <w:noProof/>
        </w:rPr>
        <w:t>17</w:t>
      </w:r>
      <w:r>
        <w:rPr>
          <w:noProof/>
        </w:rPr>
        <w:fldChar w:fldCharType="end"/>
      </w:r>
    </w:p>
    <w:p w14:paraId="43E08271" w14:textId="693F8C02" w:rsidR="00AB3A98" w:rsidRDefault="00AB3A98">
      <w:pPr>
        <w:pStyle w:val="TOC2"/>
        <w:rPr>
          <w:rFonts w:asciiTheme="minorHAnsi" w:eastAsiaTheme="minorEastAsia" w:hAnsiTheme="minorHAnsi" w:cstheme="minorBidi"/>
          <w:noProof/>
          <w:sz w:val="22"/>
          <w:szCs w:val="22"/>
        </w:rPr>
      </w:pPr>
      <w:r>
        <w:rPr>
          <w:noProof/>
        </w:rPr>
        <w:t>9.1   Labelling systems</w:t>
      </w:r>
      <w:r>
        <w:rPr>
          <w:noProof/>
        </w:rPr>
        <w:tab/>
      </w:r>
      <w:r>
        <w:rPr>
          <w:noProof/>
        </w:rPr>
        <w:fldChar w:fldCharType="begin"/>
      </w:r>
      <w:r>
        <w:rPr>
          <w:noProof/>
        </w:rPr>
        <w:instrText xml:space="preserve"> PAGEREF _Toc101438968 \h </w:instrText>
      </w:r>
      <w:r>
        <w:rPr>
          <w:noProof/>
        </w:rPr>
      </w:r>
      <w:r>
        <w:rPr>
          <w:noProof/>
        </w:rPr>
        <w:fldChar w:fldCharType="separate"/>
      </w:r>
      <w:r>
        <w:rPr>
          <w:noProof/>
        </w:rPr>
        <w:t>17</w:t>
      </w:r>
      <w:r>
        <w:rPr>
          <w:noProof/>
        </w:rPr>
        <w:fldChar w:fldCharType="end"/>
      </w:r>
    </w:p>
    <w:p w14:paraId="16F9084A" w14:textId="71115DA7" w:rsidR="00AB3A98" w:rsidRDefault="00AB3A98">
      <w:pPr>
        <w:pStyle w:val="TOC2"/>
        <w:rPr>
          <w:rFonts w:asciiTheme="minorHAnsi" w:eastAsiaTheme="minorEastAsia" w:hAnsiTheme="minorHAnsi" w:cstheme="minorBidi"/>
          <w:noProof/>
          <w:sz w:val="22"/>
          <w:szCs w:val="22"/>
        </w:rPr>
      </w:pPr>
      <w:r>
        <w:rPr>
          <w:noProof/>
        </w:rPr>
        <w:t>9.2   GHS</w:t>
      </w:r>
      <w:r>
        <w:rPr>
          <w:noProof/>
        </w:rPr>
        <w:tab/>
      </w:r>
      <w:r>
        <w:rPr>
          <w:noProof/>
        </w:rPr>
        <w:fldChar w:fldCharType="begin"/>
      </w:r>
      <w:r>
        <w:rPr>
          <w:noProof/>
        </w:rPr>
        <w:instrText xml:space="preserve"> PAGEREF _Toc101438969 \h </w:instrText>
      </w:r>
      <w:r>
        <w:rPr>
          <w:noProof/>
        </w:rPr>
      </w:r>
      <w:r>
        <w:rPr>
          <w:noProof/>
        </w:rPr>
        <w:fldChar w:fldCharType="separate"/>
      </w:r>
      <w:r>
        <w:rPr>
          <w:noProof/>
        </w:rPr>
        <w:t>17</w:t>
      </w:r>
      <w:r>
        <w:rPr>
          <w:noProof/>
        </w:rPr>
        <w:fldChar w:fldCharType="end"/>
      </w:r>
    </w:p>
    <w:p w14:paraId="6ABFAD30" w14:textId="033A9064" w:rsidR="00AB3A98" w:rsidRDefault="00AB3A98">
      <w:pPr>
        <w:pStyle w:val="TOC2"/>
        <w:rPr>
          <w:rFonts w:asciiTheme="minorHAnsi" w:eastAsiaTheme="minorEastAsia" w:hAnsiTheme="minorHAnsi" w:cstheme="minorBidi"/>
          <w:noProof/>
          <w:sz w:val="22"/>
          <w:szCs w:val="22"/>
        </w:rPr>
      </w:pPr>
      <w:r>
        <w:rPr>
          <w:noProof/>
        </w:rPr>
        <w:t>9.3   Labelling responsibilities</w:t>
      </w:r>
      <w:r>
        <w:rPr>
          <w:noProof/>
        </w:rPr>
        <w:tab/>
      </w:r>
      <w:r>
        <w:rPr>
          <w:noProof/>
        </w:rPr>
        <w:fldChar w:fldCharType="begin"/>
      </w:r>
      <w:r>
        <w:rPr>
          <w:noProof/>
        </w:rPr>
        <w:instrText xml:space="preserve"> PAGEREF _Toc101438970 \h </w:instrText>
      </w:r>
      <w:r>
        <w:rPr>
          <w:noProof/>
        </w:rPr>
      </w:r>
      <w:r>
        <w:rPr>
          <w:noProof/>
        </w:rPr>
        <w:fldChar w:fldCharType="separate"/>
      </w:r>
      <w:r>
        <w:rPr>
          <w:noProof/>
        </w:rPr>
        <w:t>17</w:t>
      </w:r>
      <w:r>
        <w:rPr>
          <w:noProof/>
        </w:rPr>
        <w:fldChar w:fldCharType="end"/>
      </w:r>
    </w:p>
    <w:p w14:paraId="5663EE04" w14:textId="56D68277" w:rsidR="00AB3A98" w:rsidRDefault="00AB3A98">
      <w:pPr>
        <w:pStyle w:val="TOC2"/>
        <w:rPr>
          <w:rFonts w:asciiTheme="minorHAnsi" w:eastAsiaTheme="minorEastAsia" w:hAnsiTheme="minorHAnsi" w:cstheme="minorBidi"/>
          <w:noProof/>
          <w:sz w:val="22"/>
          <w:szCs w:val="22"/>
        </w:rPr>
      </w:pPr>
      <w:r>
        <w:rPr>
          <w:noProof/>
        </w:rPr>
        <w:t>9.4   What information must be included on a label?</w:t>
      </w:r>
      <w:r>
        <w:rPr>
          <w:noProof/>
        </w:rPr>
        <w:tab/>
      </w:r>
      <w:r>
        <w:rPr>
          <w:noProof/>
        </w:rPr>
        <w:fldChar w:fldCharType="begin"/>
      </w:r>
      <w:r>
        <w:rPr>
          <w:noProof/>
        </w:rPr>
        <w:instrText xml:space="preserve"> PAGEREF _Toc101438971 \h </w:instrText>
      </w:r>
      <w:r>
        <w:rPr>
          <w:noProof/>
        </w:rPr>
      </w:r>
      <w:r>
        <w:rPr>
          <w:noProof/>
        </w:rPr>
        <w:fldChar w:fldCharType="separate"/>
      </w:r>
      <w:r>
        <w:rPr>
          <w:noProof/>
        </w:rPr>
        <w:t>18</w:t>
      </w:r>
      <w:r>
        <w:rPr>
          <w:noProof/>
        </w:rPr>
        <w:fldChar w:fldCharType="end"/>
      </w:r>
    </w:p>
    <w:p w14:paraId="52AEF8A7" w14:textId="6F2F2B01" w:rsidR="00AB3A98" w:rsidRDefault="00AB3A98">
      <w:pPr>
        <w:pStyle w:val="TOC2"/>
        <w:rPr>
          <w:rFonts w:asciiTheme="minorHAnsi" w:eastAsiaTheme="minorEastAsia" w:hAnsiTheme="minorHAnsi" w:cstheme="minorBidi"/>
          <w:noProof/>
          <w:sz w:val="22"/>
          <w:szCs w:val="22"/>
        </w:rPr>
      </w:pPr>
      <w:r>
        <w:rPr>
          <w:noProof/>
        </w:rPr>
        <w:t>9.5   Labelling design layout</w:t>
      </w:r>
      <w:r>
        <w:rPr>
          <w:noProof/>
        </w:rPr>
        <w:tab/>
      </w:r>
      <w:r>
        <w:rPr>
          <w:noProof/>
        </w:rPr>
        <w:fldChar w:fldCharType="begin"/>
      </w:r>
      <w:r>
        <w:rPr>
          <w:noProof/>
        </w:rPr>
        <w:instrText xml:space="preserve"> PAGEREF _Toc101438972 \h </w:instrText>
      </w:r>
      <w:r>
        <w:rPr>
          <w:noProof/>
        </w:rPr>
      </w:r>
      <w:r>
        <w:rPr>
          <w:noProof/>
        </w:rPr>
        <w:fldChar w:fldCharType="separate"/>
      </w:r>
      <w:r>
        <w:rPr>
          <w:noProof/>
        </w:rPr>
        <w:t>18</w:t>
      </w:r>
      <w:r>
        <w:rPr>
          <w:noProof/>
        </w:rPr>
        <w:fldChar w:fldCharType="end"/>
      </w:r>
    </w:p>
    <w:p w14:paraId="1D85F969" w14:textId="5C97F42E" w:rsidR="00AB3A98" w:rsidRDefault="00AB3A98">
      <w:pPr>
        <w:pStyle w:val="TOC2"/>
        <w:rPr>
          <w:rFonts w:asciiTheme="minorHAnsi" w:eastAsiaTheme="minorEastAsia" w:hAnsiTheme="minorHAnsi" w:cstheme="minorBidi"/>
          <w:noProof/>
          <w:sz w:val="22"/>
          <w:szCs w:val="22"/>
        </w:rPr>
      </w:pPr>
      <w:r>
        <w:rPr>
          <w:noProof/>
        </w:rPr>
        <w:t>9.6   ChemAlert Labels</w:t>
      </w:r>
      <w:r>
        <w:rPr>
          <w:noProof/>
        </w:rPr>
        <w:tab/>
      </w:r>
      <w:r>
        <w:rPr>
          <w:noProof/>
        </w:rPr>
        <w:fldChar w:fldCharType="begin"/>
      </w:r>
      <w:r>
        <w:rPr>
          <w:noProof/>
        </w:rPr>
        <w:instrText xml:space="preserve"> PAGEREF _Toc101438973 \h </w:instrText>
      </w:r>
      <w:r>
        <w:rPr>
          <w:noProof/>
        </w:rPr>
      </w:r>
      <w:r>
        <w:rPr>
          <w:noProof/>
        </w:rPr>
        <w:fldChar w:fldCharType="separate"/>
      </w:r>
      <w:r>
        <w:rPr>
          <w:noProof/>
        </w:rPr>
        <w:t>19</w:t>
      </w:r>
      <w:r>
        <w:rPr>
          <w:noProof/>
        </w:rPr>
        <w:fldChar w:fldCharType="end"/>
      </w:r>
    </w:p>
    <w:p w14:paraId="37BDE359" w14:textId="29BD1A53" w:rsidR="00AB3A98" w:rsidRDefault="00AB3A98">
      <w:pPr>
        <w:pStyle w:val="TOC2"/>
        <w:rPr>
          <w:rFonts w:asciiTheme="minorHAnsi" w:eastAsiaTheme="minorEastAsia" w:hAnsiTheme="minorHAnsi" w:cstheme="minorBidi"/>
          <w:noProof/>
          <w:sz w:val="22"/>
          <w:szCs w:val="22"/>
        </w:rPr>
      </w:pPr>
      <w:r>
        <w:rPr>
          <w:noProof/>
        </w:rPr>
        <w:t>9.7   Special Labelling Situations</w:t>
      </w:r>
      <w:r>
        <w:rPr>
          <w:noProof/>
        </w:rPr>
        <w:tab/>
      </w:r>
      <w:r>
        <w:rPr>
          <w:noProof/>
        </w:rPr>
        <w:fldChar w:fldCharType="begin"/>
      </w:r>
      <w:r>
        <w:rPr>
          <w:noProof/>
        </w:rPr>
        <w:instrText xml:space="preserve"> PAGEREF _Toc101438974 \h </w:instrText>
      </w:r>
      <w:r>
        <w:rPr>
          <w:noProof/>
        </w:rPr>
      </w:r>
      <w:r>
        <w:rPr>
          <w:noProof/>
        </w:rPr>
        <w:fldChar w:fldCharType="separate"/>
      </w:r>
      <w:r>
        <w:rPr>
          <w:noProof/>
        </w:rPr>
        <w:t>19</w:t>
      </w:r>
      <w:r>
        <w:rPr>
          <w:noProof/>
        </w:rPr>
        <w:fldChar w:fldCharType="end"/>
      </w:r>
    </w:p>
    <w:p w14:paraId="0AC79BA3" w14:textId="3F3562EA" w:rsidR="00AB3A98" w:rsidRDefault="00AB3A98">
      <w:pPr>
        <w:pStyle w:val="TOC2"/>
        <w:rPr>
          <w:rFonts w:asciiTheme="minorHAnsi" w:eastAsiaTheme="minorEastAsia" w:hAnsiTheme="minorHAnsi" w:cstheme="minorBidi"/>
          <w:noProof/>
          <w:sz w:val="22"/>
          <w:szCs w:val="22"/>
        </w:rPr>
      </w:pPr>
      <w:r>
        <w:rPr>
          <w:noProof/>
        </w:rPr>
        <w:t>9.8   Container Incorrectly Labelled</w:t>
      </w:r>
      <w:r>
        <w:rPr>
          <w:noProof/>
        </w:rPr>
        <w:tab/>
      </w:r>
      <w:r>
        <w:rPr>
          <w:noProof/>
        </w:rPr>
        <w:fldChar w:fldCharType="begin"/>
      </w:r>
      <w:r>
        <w:rPr>
          <w:noProof/>
        </w:rPr>
        <w:instrText xml:space="preserve"> PAGEREF _Toc101438975 \h </w:instrText>
      </w:r>
      <w:r>
        <w:rPr>
          <w:noProof/>
        </w:rPr>
      </w:r>
      <w:r>
        <w:rPr>
          <w:noProof/>
        </w:rPr>
        <w:fldChar w:fldCharType="separate"/>
      </w:r>
      <w:r>
        <w:rPr>
          <w:noProof/>
        </w:rPr>
        <w:t>20</w:t>
      </w:r>
      <w:r>
        <w:rPr>
          <w:noProof/>
        </w:rPr>
        <w:fldChar w:fldCharType="end"/>
      </w:r>
    </w:p>
    <w:p w14:paraId="26AA6893" w14:textId="2E34093B" w:rsidR="00AB3A98" w:rsidRDefault="00AB3A98">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Storage</w:t>
      </w:r>
      <w:r>
        <w:rPr>
          <w:noProof/>
        </w:rPr>
        <w:tab/>
      </w:r>
      <w:r>
        <w:rPr>
          <w:noProof/>
        </w:rPr>
        <w:fldChar w:fldCharType="begin"/>
      </w:r>
      <w:r>
        <w:rPr>
          <w:noProof/>
        </w:rPr>
        <w:instrText xml:space="preserve"> PAGEREF _Toc101438976 \h </w:instrText>
      </w:r>
      <w:r>
        <w:rPr>
          <w:noProof/>
        </w:rPr>
      </w:r>
      <w:r>
        <w:rPr>
          <w:noProof/>
        </w:rPr>
        <w:fldChar w:fldCharType="separate"/>
      </w:r>
      <w:r>
        <w:rPr>
          <w:noProof/>
        </w:rPr>
        <w:t>20</w:t>
      </w:r>
      <w:r>
        <w:rPr>
          <w:noProof/>
        </w:rPr>
        <w:fldChar w:fldCharType="end"/>
      </w:r>
    </w:p>
    <w:p w14:paraId="727A9741" w14:textId="1D05C79F" w:rsidR="00AB3A98" w:rsidRDefault="00AB3A98">
      <w:pPr>
        <w:pStyle w:val="TOC2"/>
        <w:rPr>
          <w:rFonts w:asciiTheme="minorHAnsi" w:eastAsiaTheme="minorEastAsia" w:hAnsiTheme="minorHAnsi" w:cstheme="minorBidi"/>
          <w:noProof/>
          <w:sz w:val="22"/>
          <w:szCs w:val="22"/>
        </w:rPr>
      </w:pPr>
      <w:r>
        <w:rPr>
          <w:noProof/>
        </w:rPr>
        <w:t>10.1   Storage of Chemicals</w:t>
      </w:r>
      <w:r>
        <w:rPr>
          <w:noProof/>
        </w:rPr>
        <w:tab/>
      </w:r>
      <w:r>
        <w:rPr>
          <w:noProof/>
        </w:rPr>
        <w:fldChar w:fldCharType="begin"/>
      </w:r>
      <w:r>
        <w:rPr>
          <w:noProof/>
        </w:rPr>
        <w:instrText xml:space="preserve"> PAGEREF _Toc101438977 \h </w:instrText>
      </w:r>
      <w:r>
        <w:rPr>
          <w:noProof/>
        </w:rPr>
      </w:r>
      <w:r>
        <w:rPr>
          <w:noProof/>
        </w:rPr>
        <w:fldChar w:fldCharType="separate"/>
      </w:r>
      <w:r>
        <w:rPr>
          <w:noProof/>
        </w:rPr>
        <w:t>20</w:t>
      </w:r>
      <w:r>
        <w:rPr>
          <w:noProof/>
        </w:rPr>
        <w:fldChar w:fldCharType="end"/>
      </w:r>
    </w:p>
    <w:p w14:paraId="6409A03B" w14:textId="362A99B9" w:rsidR="00AB3A98" w:rsidRDefault="00AB3A98">
      <w:pPr>
        <w:pStyle w:val="TOC2"/>
        <w:rPr>
          <w:rFonts w:asciiTheme="minorHAnsi" w:eastAsiaTheme="minorEastAsia" w:hAnsiTheme="minorHAnsi" w:cstheme="minorBidi"/>
          <w:noProof/>
          <w:sz w:val="22"/>
          <w:szCs w:val="22"/>
        </w:rPr>
      </w:pPr>
      <w:r>
        <w:rPr>
          <w:noProof/>
        </w:rPr>
        <w:t>10.2   Storage Requirements</w:t>
      </w:r>
      <w:r>
        <w:rPr>
          <w:noProof/>
        </w:rPr>
        <w:tab/>
      </w:r>
      <w:r>
        <w:rPr>
          <w:noProof/>
        </w:rPr>
        <w:fldChar w:fldCharType="begin"/>
      </w:r>
      <w:r>
        <w:rPr>
          <w:noProof/>
        </w:rPr>
        <w:instrText xml:space="preserve"> PAGEREF _Toc101438978 \h </w:instrText>
      </w:r>
      <w:r>
        <w:rPr>
          <w:noProof/>
        </w:rPr>
      </w:r>
      <w:r>
        <w:rPr>
          <w:noProof/>
        </w:rPr>
        <w:fldChar w:fldCharType="separate"/>
      </w:r>
      <w:r>
        <w:rPr>
          <w:noProof/>
        </w:rPr>
        <w:t>20</w:t>
      </w:r>
      <w:r>
        <w:rPr>
          <w:noProof/>
        </w:rPr>
        <w:fldChar w:fldCharType="end"/>
      </w:r>
    </w:p>
    <w:p w14:paraId="6054EEF1" w14:textId="4DA8535A" w:rsidR="00AB3A98" w:rsidRDefault="00AB3A98">
      <w:pPr>
        <w:pStyle w:val="TOC2"/>
        <w:rPr>
          <w:rFonts w:asciiTheme="minorHAnsi" w:eastAsiaTheme="minorEastAsia" w:hAnsiTheme="minorHAnsi" w:cstheme="minorBidi"/>
          <w:noProof/>
          <w:sz w:val="22"/>
          <w:szCs w:val="22"/>
        </w:rPr>
      </w:pPr>
      <w:r>
        <w:rPr>
          <w:noProof/>
        </w:rPr>
        <w:t>10.3   Segregation &amp; Incompatibility of Chemicals</w:t>
      </w:r>
      <w:r>
        <w:rPr>
          <w:noProof/>
        </w:rPr>
        <w:tab/>
      </w:r>
      <w:r>
        <w:rPr>
          <w:noProof/>
        </w:rPr>
        <w:fldChar w:fldCharType="begin"/>
      </w:r>
      <w:r>
        <w:rPr>
          <w:noProof/>
        </w:rPr>
        <w:instrText xml:space="preserve"> PAGEREF _Toc101438979 \h </w:instrText>
      </w:r>
      <w:r>
        <w:rPr>
          <w:noProof/>
        </w:rPr>
      </w:r>
      <w:r>
        <w:rPr>
          <w:noProof/>
        </w:rPr>
        <w:fldChar w:fldCharType="separate"/>
      </w:r>
      <w:r>
        <w:rPr>
          <w:noProof/>
        </w:rPr>
        <w:t>21</w:t>
      </w:r>
      <w:r>
        <w:rPr>
          <w:noProof/>
        </w:rPr>
        <w:fldChar w:fldCharType="end"/>
      </w:r>
    </w:p>
    <w:p w14:paraId="355F88E4" w14:textId="113912B6" w:rsidR="00AB3A98" w:rsidRDefault="00AB3A98">
      <w:pPr>
        <w:pStyle w:val="TOC2"/>
        <w:rPr>
          <w:rFonts w:asciiTheme="minorHAnsi" w:eastAsiaTheme="minorEastAsia" w:hAnsiTheme="minorHAnsi" w:cstheme="minorBidi"/>
          <w:noProof/>
          <w:sz w:val="22"/>
          <w:szCs w:val="22"/>
        </w:rPr>
      </w:pPr>
      <w:r>
        <w:rPr>
          <w:noProof/>
        </w:rPr>
        <w:t>10.4   Decanting</w:t>
      </w:r>
      <w:r>
        <w:rPr>
          <w:noProof/>
        </w:rPr>
        <w:tab/>
      </w:r>
      <w:r>
        <w:rPr>
          <w:noProof/>
        </w:rPr>
        <w:fldChar w:fldCharType="begin"/>
      </w:r>
      <w:r>
        <w:rPr>
          <w:noProof/>
        </w:rPr>
        <w:instrText xml:space="preserve"> PAGEREF _Toc101438980 \h </w:instrText>
      </w:r>
      <w:r>
        <w:rPr>
          <w:noProof/>
        </w:rPr>
      </w:r>
      <w:r>
        <w:rPr>
          <w:noProof/>
        </w:rPr>
        <w:fldChar w:fldCharType="separate"/>
      </w:r>
      <w:r>
        <w:rPr>
          <w:noProof/>
        </w:rPr>
        <w:t>23</w:t>
      </w:r>
      <w:r>
        <w:rPr>
          <w:noProof/>
        </w:rPr>
        <w:fldChar w:fldCharType="end"/>
      </w:r>
    </w:p>
    <w:p w14:paraId="2D13578A" w14:textId="09D60B83" w:rsidR="00AB3A98" w:rsidRDefault="00AB3A98">
      <w:pPr>
        <w:pStyle w:val="TOC2"/>
        <w:rPr>
          <w:rFonts w:asciiTheme="minorHAnsi" w:eastAsiaTheme="minorEastAsia" w:hAnsiTheme="minorHAnsi" w:cstheme="minorBidi"/>
          <w:noProof/>
          <w:sz w:val="22"/>
          <w:szCs w:val="22"/>
        </w:rPr>
      </w:pPr>
      <w:r>
        <w:rPr>
          <w:noProof/>
        </w:rPr>
        <w:t>10.5   Storage of Time Sensitive Chemicals</w:t>
      </w:r>
      <w:r>
        <w:rPr>
          <w:noProof/>
        </w:rPr>
        <w:tab/>
      </w:r>
      <w:r>
        <w:rPr>
          <w:noProof/>
        </w:rPr>
        <w:fldChar w:fldCharType="begin"/>
      </w:r>
      <w:r>
        <w:rPr>
          <w:noProof/>
        </w:rPr>
        <w:instrText xml:space="preserve"> PAGEREF _Toc101438981 \h </w:instrText>
      </w:r>
      <w:r>
        <w:rPr>
          <w:noProof/>
        </w:rPr>
      </w:r>
      <w:r>
        <w:rPr>
          <w:noProof/>
        </w:rPr>
        <w:fldChar w:fldCharType="separate"/>
      </w:r>
      <w:r>
        <w:rPr>
          <w:noProof/>
        </w:rPr>
        <w:t>23</w:t>
      </w:r>
      <w:r>
        <w:rPr>
          <w:noProof/>
        </w:rPr>
        <w:fldChar w:fldCharType="end"/>
      </w:r>
    </w:p>
    <w:p w14:paraId="5A121243" w14:textId="06BD6FDB" w:rsidR="00AB3A98" w:rsidRDefault="00AB3A98">
      <w:pPr>
        <w:pStyle w:val="TOC2"/>
        <w:rPr>
          <w:rFonts w:asciiTheme="minorHAnsi" w:eastAsiaTheme="minorEastAsia" w:hAnsiTheme="minorHAnsi" w:cstheme="minorBidi"/>
          <w:noProof/>
          <w:sz w:val="22"/>
          <w:szCs w:val="22"/>
        </w:rPr>
      </w:pPr>
      <w:r>
        <w:rPr>
          <w:noProof/>
        </w:rPr>
        <w:t>10.6   Chemical Storage in Laboratories</w:t>
      </w:r>
      <w:r>
        <w:rPr>
          <w:noProof/>
        </w:rPr>
        <w:tab/>
      </w:r>
      <w:r>
        <w:rPr>
          <w:noProof/>
        </w:rPr>
        <w:fldChar w:fldCharType="begin"/>
      </w:r>
      <w:r>
        <w:rPr>
          <w:noProof/>
        </w:rPr>
        <w:instrText xml:space="preserve"> PAGEREF _Toc101438982 \h </w:instrText>
      </w:r>
      <w:r>
        <w:rPr>
          <w:noProof/>
        </w:rPr>
      </w:r>
      <w:r>
        <w:rPr>
          <w:noProof/>
        </w:rPr>
        <w:fldChar w:fldCharType="separate"/>
      </w:r>
      <w:r>
        <w:rPr>
          <w:noProof/>
        </w:rPr>
        <w:t>24</w:t>
      </w:r>
      <w:r>
        <w:rPr>
          <w:noProof/>
        </w:rPr>
        <w:fldChar w:fldCharType="end"/>
      </w:r>
    </w:p>
    <w:p w14:paraId="025378F9" w14:textId="53CCB3D5" w:rsidR="00AB3A98" w:rsidRDefault="00AB3A98">
      <w:pPr>
        <w:pStyle w:val="TOC2"/>
        <w:rPr>
          <w:rFonts w:asciiTheme="minorHAnsi" w:eastAsiaTheme="minorEastAsia" w:hAnsiTheme="minorHAnsi" w:cstheme="minorBidi"/>
          <w:noProof/>
          <w:sz w:val="22"/>
          <w:szCs w:val="22"/>
        </w:rPr>
      </w:pPr>
      <w:r>
        <w:rPr>
          <w:noProof/>
        </w:rPr>
        <w:t>10.7   Chemical Storage in Chemical Storage Cabinets</w:t>
      </w:r>
      <w:r>
        <w:rPr>
          <w:noProof/>
        </w:rPr>
        <w:tab/>
      </w:r>
      <w:r>
        <w:rPr>
          <w:noProof/>
        </w:rPr>
        <w:fldChar w:fldCharType="begin"/>
      </w:r>
      <w:r>
        <w:rPr>
          <w:noProof/>
        </w:rPr>
        <w:instrText xml:space="preserve"> PAGEREF _Toc101438983 \h </w:instrText>
      </w:r>
      <w:r>
        <w:rPr>
          <w:noProof/>
        </w:rPr>
      </w:r>
      <w:r>
        <w:rPr>
          <w:noProof/>
        </w:rPr>
        <w:fldChar w:fldCharType="separate"/>
      </w:r>
      <w:r>
        <w:rPr>
          <w:noProof/>
        </w:rPr>
        <w:t>25</w:t>
      </w:r>
      <w:r>
        <w:rPr>
          <w:noProof/>
        </w:rPr>
        <w:fldChar w:fldCharType="end"/>
      </w:r>
    </w:p>
    <w:p w14:paraId="575499C2" w14:textId="48F78E41" w:rsidR="00AB3A98" w:rsidRDefault="00AB3A98">
      <w:pPr>
        <w:pStyle w:val="TOC2"/>
        <w:rPr>
          <w:rFonts w:asciiTheme="minorHAnsi" w:eastAsiaTheme="minorEastAsia" w:hAnsiTheme="minorHAnsi" w:cstheme="minorBidi"/>
          <w:noProof/>
          <w:sz w:val="22"/>
          <w:szCs w:val="22"/>
        </w:rPr>
      </w:pPr>
      <w:r>
        <w:rPr>
          <w:noProof/>
        </w:rPr>
        <w:t>10.8   Chemical Storage Using Refrigerators</w:t>
      </w:r>
      <w:r>
        <w:rPr>
          <w:noProof/>
        </w:rPr>
        <w:tab/>
      </w:r>
      <w:r>
        <w:rPr>
          <w:noProof/>
        </w:rPr>
        <w:fldChar w:fldCharType="begin"/>
      </w:r>
      <w:r>
        <w:rPr>
          <w:noProof/>
        </w:rPr>
        <w:instrText xml:space="preserve"> PAGEREF _Toc101438984 \h </w:instrText>
      </w:r>
      <w:r>
        <w:rPr>
          <w:noProof/>
        </w:rPr>
      </w:r>
      <w:r>
        <w:rPr>
          <w:noProof/>
        </w:rPr>
        <w:fldChar w:fldCharType="separate"/>
      </w:r>
      <w:r>
        <w:rPr>
          <w:noProof/>
        </w:rPr>
        <w:t>25</w:t>
      </w:r>
      <w:r>
        <w:rPr>
          <w:noProof/>
        </w:rPr>
        <w:fldChar w:fldCharType="end"/>
      </w:r>
    </w:p>
    <w:p w14:paraId="639B953F" w14:textId="3E0992F2" w:rsidR="00AB3A98" w:rsidRDefault="00AB3A98">
      <w:pPr>
        <w:pStyle w:val="TOC2"/>
        <w:rPr>
          <w:rFonts w:asciiTheme="minorHAnsi" w:eastAsiaTheme="minorEastAsia" w:hAnsiTheme="minorHAnsi" w:cstheme="minorBidi"/>
          <w:noProof/>
          <w:sz w:val="22"/>
          <w:szCs w:val="22"/>
        </w:rPr>
      </w:pPr>
      <w:r>
        <w:rPr>
          <w:noProof/>
        </w:rPr>
        <w:t>10.9   Chemical Stores</w:t>
      </w:r>
      <w:r>
        <w:rPr>
          <w:noProof/>
        </w:rPr>
        <w:tab/>
      </w:r>
      <w:r>
        <w:rPr>
          <w:noProof/>
        </w:rPr>
        <w:fldChar w:fldCharType="begin"/>
      </w:r>
      <w:r>
        <w:rPr>
          <w:noProof/>
        </w:rPr>
        <w:instrText xml:space="preserve"> PAGEREF _Toc101438985 \h </w:instrText>
      </w:r>
      <w:r>
        <w:rPr>
          <w:noProof/>
        </w:rPr>
      </w:r>
      <w:r>
        <w:rPr>
          <w:noProof/>
        </w:rPr>
        <w:fldChar w:fldCharType="separate"/>
      </w:r>
      <w:r>
        <w:rPr>
          <w:noProof/>
        </w:rPr>
        <w:t>26</w:t>
      </w:r>
      <w:r>
        <w:rPr>
          <w:noProof/>
        </w:rPr>
        <w:fldChar w:fldCharType="end"/>
      </w:r>
    </w:p>
    <w:p w14:paraId="62B986B3" w14:textId="37FE0D46" w:rsidR="00AB3A98" w:rsidRDefault="00AB3A98">
      <w:pPr>
        <w:pStyle w:val="TOC1"/>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Transportation of Chemicals</w:t>
      </w:r>
      <w:r>
        <w:rPr>
          <w:noProof/>
        </w:rPr>
        <w:tab/>
      </w:r>
      <w:r>
        <w:rPr>
          <w:noProof/>
        </w:rPr>
        <w:fldChar w:fldCharType="begin"/>
      </w:r>
      <w:r>
        <w:rPr>
          <w:noProof/>
        </w:rPr>
        <w:instrText xml:space="preserve"> PAGEREF _Toc101438986 \h </w:instrText>
      </w:r>
      <w:r>
        <w:rPr>
          <w:noProof/>
        </w:rPr>
      </w:r>
      <w:r>
        <w:rPr>
          <w:noProof/>
        </w:rPr>
        <w:fldChar w:fldCharType="separate"/>
      </w:r>
      <w:r>
        <w:rPr>
          <w:noProof/>
        </w:rPr>
        <w:t>26</w:t>
      </w:r>
      <w:r>
        <w:rPr>
          <w:noProof/>
        </w:rPr>
        <w:fldChar w:fldCharType="end"/>
      </w:r>
    </w:p>
    <w:p w14:paraId="027161B0" w14:textId="4A3CE945" w:rsidR="00AB3A98" w:rsidRDefault="00AB3A98">
      <w:pPr>
        <w:pStyle w:val="TOC1"/>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Chemical Waste and Disposal</w:t>
      </w:r>
      <w:r>
        <w:rPr>
          <w:noProof/>
        </w:rPr>
        <w:tab/>
      </w:r>
      <w:r>
        <w:rPr>
          <w:noProof/>
        </w:rPr>
        <w:fldChar w:fldCharType="begin"/>
      </w:r>
      <w:r>
        <w:rPr>
          <w:noProof/>
        </w:rPr>
        <w:instrText xml:space="preserve"> PAGEREF _Toc101438987 \h </w:instrText>
      </w:r>
      <w:r>
        <w:rPr>
          <w:noProof/>
        </w:rPr>
      </w:r>
      <w:r>
        <w:rPr>
          <w:noProof/>
        </w:rPr>
        <w:fldChar w:fldCharType="separate"/>
      </w:r>
      <w:r>
        <w:rPr>
          <w:noProof/>
        </w:rPr>
        <w:t>27</w:t>
      </w:r>
      <w:r>
        <w:rPr>
          <w:noProof/>
        </w:rPr>
        <w:fldChar w:fldCharType="end"/>
      </w:r>
    </w:p>
    <w:p w14:paraId="52BD5C8D" w14:textId="1817E516" w:rsidR="00AB3A98" w:rsidRDefault="00AB3A98">
      <w:pPr>
        <w:pStyle w:val="TOC2"/>
        <w:rPr>
          <w:rFonts w:asciiTheme="minorHAnsi" w:eastAsiaTheme="minorEastAsia" w:hAnsiTheme="minorHAnsi" w:cstheme="minorBidi"/>
          <w:noProof/>
          <w:sz w:val="22"/>
          <w:szCs w:val="22"/>
        </w:rPr>
      </w:pPr>
      <w:r>
        <w:rPr>
          <w:noProof/>
        </w:rPr>
        <w:t>12.1   Introduction</w:t>
      </w:r>
      <w:r>
        <w:rPr>
          <w:noProof/>
        </w:rPr>
        <w:tab/>
      </w:r>
      <w:r>
        <w:rPr>
          <w:noProof/>
        </w:rPr>
        <w:fldChar w:fldCharType="begin"/>
      </w:r>
      <w:r>
        <w:rPr>
          <w:noProof/>
        </w:rPr>
        <w:instrText xml:space="preserve"> PAGEREF _Toc101438988 \h </w:instrText>
      </w:r>
      <w:r>
        <w:rPr>
          <w:noProof/>
        </w:rPr>
      </w:r>
      <w:r>
        <w:rPr>
          <w:noProof/>
        </w:rPr>
        <w:fldChar w:fldCharType="separate"/>
      </w:r>
      <w:r>
        <w:rPr>
          <w:noProof/>
        </w:rPr>
        <w:t>27</w:t>
      </w:r>
      <w:r>
        <w:rPr>
          <w:noProof/>
        </w:rPr>
        <w:fldChar w:fldCharType="end"/>
      </w:r>
    </w:p>
    <w:p w14:paraId="45946F3B" w14:textId="3F9BDF49" w:rsidR="00AB3A98" w:rsidRDefault="00AB3A98">
      <w:pPr>
        <w:pStyle w:val="TOC2"/>
        <w:rPr>
          <w:rFonts w:asciiTheme="minorHAnsi" w:eastAsiaTheme="minorEastAsia" w:hAnsiTheme="minorHAnsi" w:cstheme="minorBidi"/>
          <w:noProof/>
          <w:sz w:val="22"/>
          <w:szCs w:val="22"/>
        </w:rPr>
      </w:pPr>
      <w:r>
        <w:rPr>
          <w:noProof/>
        </w:rPr>
        <w:t>12.2   Responsibilities</w:t>
      </w:r>
      <w:r>
        <w:rPr>
          <w:noProof/>
        </w:rPr>
        <w:tab/>
      </w:r>
      <w:r>
        <w:rPr>
          <w:noProof/>
        </w:rPr>
        <w:fldChar w:fldCharType="begin"/>
      </w:r>
      <w:r>
        <w:rPr>
          <w:noProof/>
        </w:rPr>
        <w:instrText xml:space="preserve"> PAGEREF _Toc101438989 \h </w:instrText>
      </w:r>
      <w:r>
        <w:rPr>
          <w:noProof/>
        </w:rPr>
      </w:r>
      <w:r>
        <w:rPr>
          <w:noProof/>
        </w:rPr>
        <w:fldChar w:fldCharType="separate"/>
      </w:r>
      <w:r>
        <w:rPr>
          <w:noProof/>
        </w:rPr>
        <w:t>28</w:t>
      </w:r>
      <w:r>
        <w:rPr>
          <w:noProof/>
        </w:rPr>
        <w:fldChar w:fldCharType="end"/>
      </w:r>
    </w:p>
    <w:p w14:paraId="6A7C0B63" w14:textId="0EE12DFF" w:rsidR="00AB3A98" w:rsidRDefault="00AB3A98">
      <w:pPr>
        <w:pStyle w:val="TOC2"/>
        <w:rPr>
          <w:rFonts w:asciiTheme="minorHAnsi" w:eastAsiaTheme="minorEastAsia" w:hAnsiTheme="minorHAnsi" w:cstheme="minorBidi"/>
          <w:noProof/>
          <w:sz w:val="22"/>
          <w:szCs w:val="22"/>
        </w:rPr>
      </w:pPr>
      <w:r>
        <w:rPr>
          <w:noProof/>
        </w:rPr>
        <w:t>12.3   Chemical Waste Disposal</w:t>
      </w:r>
      <w:r>
        <w:rPr>
          <w:noProof/>
        </w:rPr>
        <w:tab/>
      </w:r>
      <w:r>
        <w:rPr>
          <w:noProof/>
        </w:rPr>
        <w:fldChar w:fldCharType="begin"/>
      </w:r>
      <w:r>
        <w:rPr>
          <w:noProof/>
        </w:rPr>
        <w:instrText xml:space="preserve"> PAGEREF _Toc101438990 \h </w:instrText>
      </w:r>
      <w:r>
        <w:rPr>
          <w:noProof/>
        </w:rPr>
      </w:r>
      <w:r>
        <w:rPr>
          <w:noProof/>
        </w:rPr>
        <w:fldChar w:fldCharType="separate"/>
      </w:r>
      <w:r>
        <w:rPr>
          <w:noProof/>
        </w:rPr>
        <w:t>28</w:t>
      </w:r>
      <w:r>
        <w:rPr>
          <w:noProof/>
        </w:rPr>
        <w:fldChar w:fldCharType="end"/>
      </w:r>
    </w:p>
    <w:p w14:paraId="33CDD6D1" w14:textId="1D337210" w:rsidR="00AB3A98" w:rsidRDefault="00AB3A98">
      <w:pPr>
        <w:pStyle w:val="TOC2"/>
        <w:rPr>
          <w:rFonts w:asciiTheme="minorHAnsi" w:eastAsiaTheme="minorEastAsia" w:hAnsiTheme="minorHAnsi" w:cstheme="minorBidi"/>
          <w:noProof/>
          <w:sz w:val="22"/>
          <w:szCs w:val="22"/>
        </w:rPr>
      </w:pPr>
      <w:r>
        <w:rPr>
          <w:noProof/>
        </w:rPr>
        <w:t>12.4   Trade waste</w:t>
      </w:r>
      <w:r>
        <w:rPr>
          <w:noProof/>
        </w:rPr>
        <w:tab/>
      </w:r>
      <w:r>
        <w:rPr>
          <w:noProof/>
        </w:rPr>
        <w:fldChar w:fldCharType="begin"/>
      </w:r>
      <w:r>
        <w:rPr>
          <w:noProof/>
        </w:rPr>
        <w:instrText xml:space="preserve"> PAGEREF _Toc101438991 \h </w:instrText>
      </w:r>
      <w:r>
        <w:rPr>
          <w:noProof/>
        </w:rPr>
      </w:r>
      <w:r>
        <w:rPr>
          <w:noProof/>
        </w:rPr>
        <w:fldChar w:fldCharType="separate"/>
      </w:r>
      <w:r>
        <w:rPr>
          <w:noProof/>
        </w:rPr>
        <w:t>28</w:t>
      </w:r>
      <w:r>
        <w:rPr>
          <w:noProof/>
        </w:rPr>
        <w:fldChar w:fldCharType="end"/>
      </w:r>
    </w:p>
    <w:p w14:paraId="7AB6E172" w14:textId="63288AF5" w:rsidR="00AB3A98" w:rsidRDefault="00AB3A98">
      <w:pPr>
        <w:pStyle w:val="TOC2"/>
        <w:rPr>
          <w:rFonts w:asciiTheme="minorHAnsi" w:eastAsiaTheme="minorEastAsia" w:hAnsiTheme="minorHAnsi" w:cstheme="minorBidi"/>
          <w:noProof/>
          <w:sz w:val="22"/>
          <w:szCs w:val="22"/>
        </w:rPr>
      </w:pPr>
      <w:r>
        <w:rPr>
          <w:noProof/>
        </w:rPr>
        <w:t>12.5   Labelling Chemical Waste</w:t>
      </w:r>
      <w:r>
        <w:rPr>
          <w:noProof/>
        </w:rPr>
        <w:tab/>
      </w:r>
      <w:r>
        <w:rPr>
          <w:noProof/>
        </w:rPr>
        <w:fldChar w:fldCharType="begin"/>
      </w:r>
      <w:r>
        <w:rPr>
          <w:noProof/>
        </w:rPr>
        <w:instrText xml:space="preserve"> PAGEREF _Toc101438992 \h </w:instrText>
      </w:r>
      <w:r>
        <w:rPr>
          <w:noProof/>
        </w:rPr>
      </w:r>
      <w:r>
        <w:rPr>
          <w:noProof/>
        </w:rPr>
        <w:fldChar w:fldCharType="separate"/>
      </w:r>
      <w:r>
        <w:rPr>
          <w:noProof/>
        </w:rPr>
        <w:t>28</w:t>
      </w:r>
      <w:r>
        <w:rPr>
          <w:noProof/>
        </w:rPr>
        <w:fldChar w:fldCharType="end"/>
      </w:r>
    </w:p>
    <w:p w14:paraId="54F3C43B" w14:textId="50427E5B" w:rsidR="00AB3A98" w:rsidRDefault="00AB3A98">
      <w:pPr>
        <w:pStyle w:val="TOC2"/>
        <w:rPr>
          <w:rFonts w:asciiTheme="minorHAnsi" w:eastAsiaTheme="minorEastAsia" w:hAnsiTheme="minorHAnsi" w:cstheme="minorBidi"/>
          <w:noProof/>
          <w:sz w:val="22"/>
          <w:szCs w:val="22"/>
        </w:rPr>
      </w:pPr>
      <w:r>
        <w:rPr>
          <w:noProof/>
        </w:rPr>
        <w:t>12.6   Storage of Chemical Waste</w:t>
      </w:r>
      <w:r>
        <w:rPr>
          <w:noProof/>
        </w:rPr>
        <w:tab/>
      </w:r>
      <w:r>
        <w:rPr>
          <w:noProof/>
        </w:rPr>
        <w:fldChar w:fldCharType="begin"/>
      </w:r>
      <w:r>
        <w:rPr>
          <w:noProof/>
        </w:rPr>
        <w:instrText xml:space="preserve"> PAGEREF _Toc101438993 \h </w:instrText>
      </w:r>
      <w:r>
        <w:rPr>
          <w:noProof/>
        </w:rPr>
      </w:r>
      <w:r>
        <w:rPr>
          <w:noProof/>
        </w:rPr>
        <w:fldChar w:fldCharType="separate"/>
      </w:r>
      <w:r>
        <w:rPr>
          <w:noProof/>
        </w:rPr>
        <w:t>28</w:t>
      </w:r>
      <w:r>
        <w:rPr>
          <w:noProof/>
        </w:rPr>
        <w:fldChar w:fldCharType="end"/>
      </w:r>
    </w:p>
    <w:p w14:paraId="26BBE1FA" w14:textId="4924B1C8" w:rsidR="00AB3A98" w:rsidRDefault="00AB3A98">
      <w:pPr>
        <w:pStyle w:val="TOC2"/>
        <w:rPr>
          <w:rFonts w:asciiTheme="minorHAnsi" w:eastAsiaTheme="minorEastAsia" w:hAnsiTheme="minorHAnsi" w:cstheme="minorBidi"/>
          <w:noProof/>
          <w:sz w:val="22"/>
          <w:szCs w:val="22"/>
        </w:rPr>
      </w:pPr>
      <w:r>
        <w:rPr>
          <w:noProof/>
        </w:rPr>
        <w:t>12.7   Old or Obsolete Chemicals</w:t>
      </w:r>
      <w:r>
        <w:rPr>
          <w:noProof/>
        </w:rPr>
        <w:tab/>
      </w:r>
      <w:r>
        <w:rPr>
          <w:noProof/>
        </w:rPr>
        <w:fldChar w:fldCharType="begin"/>
      </w:r>
      <w:r>
        <w:rPr>
          <w:noProof/>
        </w:rPr>
        <w:instrText xml:space="preserve"> PAGEREF _Toc101438994 \h </w:instrText>
      </w:r>
      <w:r>
        <w:rPr>
          <w:noProof/>
        </w:rPr>
      </w:r>
      <w:r>
        <w:rPr>
          <w:noProof/>
        </w:rPr>
        <w:fldChar w:fldCharType="separate"/>
      </w:r>
      <w:r>
        <w:rPr>
          <w:noProof/>
        </w:rPr>
        <w:t>29</w:t>
      </w:r>
      <w:r>
        <w:rPr>
          <w:noProof/>
        </w:rPr>
        <w:fldChar w:fldCharType="end"/>
      </w:r>
    </w:p>
    <w:p w14:paraId="10D905CC" w14:textId="560562F9" w:rsidR="00AB3A98" w:rsidRDefault="00AB3A98">
      <w:pPr>
        <w:pStyle w:val="TOC2"/>
        <w:rPr>
          <w:rFonts w:asciiTheme="minorHAnsi" w:eastAsiaTheme="minorEastAsia" w:hAnsiTheme="minorHAnsi" w:cstheme="minorBidi"/>
          <w:noProof/>
          <w:sz w:val="22"/>
          <w:szCs w:val="22"/>
        </w:rPr>
      </w:pPr>
      <w:r>
        <w:rPr>
          <w:noProof/>
        </w:rPr>
        <w:t>12.8   Contaminated items</w:t>
      </w:r>
      <w:r>
        <w:rPr>
          <w:noProof/>
        </w:rPr>
        <w:tab/>
      </w:r>
      <w:r>
        <w:rPr>
          <w:noProof/>
        </w:rPr>
        <w:fldChar w:fldCharType="begin"/>
      </w:r>
      <w:r>
        <w:rPr>
          <w:noProof/>
        </w:rPr>
        <w:instrText xml:space="preserve"> PAGEREF _Toc101438995 \h </w:instrText>
      </w:r>
      <w:r>
        <w:rPr>
          <w:noProof/>
        </w:rPr>
      </w:r>
      <w:r>
        <w:rPr>
          <w:noProof/>
        </w:rPr>
        <w:fldChar w:fldCharType="separate"/>
      </w:r>
      <w:r>
        <w:rPr>
          <w:noProof/>
        </w:rPr>
        <w:t>29</w:t>
      </w:r>
      <w:r>
        <w:rPr>
          <w:noProof/>
        </w:rPr>
        <w:fldChar w:fldCharType="end"/>
      </w:r>
    </w:p>
    <w:p w14:paraId="70C00BA5" w14:textId="4795D55F" w:rsidR="00AB3A98" w:rsidRDefault="00AB3A98">
      <w:pPr>
        <w:pStyle w:val="TOC1"/>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Chemical spill or Gas leak</w:t>
      </w:r>
      <w:r>
        <w:rPr>
          <w:noProof/>
        </w:rPr>
        <w:tab/>
      </w:r>
      <w:r>
        <w:rPr>
          <w:noProof/>
        </w:rPr>
        <w:fldChar w:fldCharType="begin"/>
      </w:r>
      <w:r>
        <w:rPr>
          <w:noProof/>
        </w:rPr>
        <w:instrText xml:space="preserve"> PAGEREF _Toc101438996 \h </w:instrText>
      </w:r>
      <w:r>
        <w:rPr>
          <w:noProof/>
        </w:rPr>
      </w:r>
      <w:r>
        <w:rPr>
          <w:noProof/>
        </w:rPr>
        <w:fldChar w:fldCharType="separate"/>
      </w:r>
      <w:r>
        <w:rPr>
          <w:noProof/>
        </w:rPr>
        <w:t>29</w:t>
      </w:r>
      <w:r>
        <w:rPr>
          <w:noProof/>
        </w:rPr>
        <w:fldChar w:fldCharType="end"/>
      </w:r>
    </w:p>
    <w:p w14:paraId="128B9D0C" w14:textId="1E1F9FA1" w:rsidR="00AB3A98" w:rsidRDefault="00AB3A98">
      <w:pPr>
        <w:pStyle w:val="TOC2"/>
        <w:rPr>
          <w:rFonts w:asciiTheme="minorHAnsi" w:eastAsiaTheme="minorEastAsia" w:hAnsiTheme="minorHAnsi" w:cstheme="minorBidi"/>
          <w:noProof/>
          <w:sz w:val="22"/>
          <w:szCs w:val="22"/>
        </w:rPr>
      </w:pPr>
      <w:r>
        <w:rPr>
          <w:noProof/>
        </w:rPr>
        <w:t>13.1   General University Procedure</w:t>
      </w:r>
      <w:r>
        <w:rPr>
          <w:noProof/>
        </w:rPr>
        <w:tab/>
      </w:r>
      <w:r>
        <w:rPr>
          <w:noProof/>
        </w:rPr>
        <w:fldChar w:fldCharType="begin"/>
      </w:r>
      <w:r>
        <w:rPr>
          <w:noProof/>
        </w:rPr>
        <w:instrText xml:space="preserve"> PAGEREF _Toc101438997 \h </w:instrText>
      </w:r>
      <w:r>
        <w:rPr>
          <w:noProof/>
        </w:rPr>
      </w:r>
      <w:r>
        <w:rPr>
          <w:noProof/>
        </w:rPr>
        <w:fldChar w:fldCharType="separate"/>
      </w:r>
      <w:r>
        <w:rPr>
          <w:noProof/>
        </w:rPr>
        <w:t>29</w:t>
      </w:r>
      <w:r>
        <w:rPr>
          <w:noProof/>
        </w:rPr>
        <w:fldChar w:fldCharType="end"/>
      </w:r>
    </w:p>
    <w:p w14:paraId="1114A29D" w14:textId="41977A3D" w:rsidR="00AB3A98" w:rsidRDefault="00AB3A98">
      <w:pPr>
        <w:pStyle w:val="TOC2"/>
        <w:rPr>
          <w:rFonts w:asciiTheme="minorHAnsi" w:eastAsiaTheme="minorEastAsia" w:hAnsiTheme="minorHAnsi" w:cstheme="minorBidi"/>
          <w:noProof/>
          <w:sz w:val="22"/>
          <w:szCs w:val="22"/>
        </w:rPr>
      </w:pPr>
      <w:r>
        <w:rPr>
          <w:noProof/>
        </w:rPr>
        <w:lastRenderedPageBreak/>
        <w:t>13.2   Preparedness</w:t>
      </w:r>
      <w:r>
        <w:rPr>
          <w:noProof/>
        </w:rPr>
        <w:tab/>
      </w:r>
      <w:r>
        <w:rPr>
          <w:noProof/>
        </w:rPr>
        <w:fldChar w:fldCharType="begin"/>
      </w:r>
      <w:r>
        <w:rPr>
          <w:noProof/>
        </w:rPr>
        <w:instrText xml:space="preserve"> PAGEREF _Toc101438998 \h </w:instrText>
      </w:r>
      <w:r>
        <w:rPr>
          <w:noProof/>
        </w:rPr>
      </w:r>
      <w:r>
        <w:rPr>
          <w:noProof/>
        </w:rPr>
        <w:fldChar w:fldCharType="separate"/>
      </w:r>
      <w:r>
        <w:rPr>
          <w:noProof/>
        </w:rPr>
        <w:t>30</w:t>
      </w:r>
      <w:r>
        <w:rPr>
          <w:noProof/>
        </w:rPr>
        <w:fldChar w:fldCharType="end"/>
      </w:r>
    </w:p>
    <w:p w14:paraId="5FAF1EED" w14:textId="2FC6E414" w:rsidR="00AB3A98" w:rsidRDefault="00AB3A98">
      <w:pPr>
        <w:pStyle w:val="TOC2"/>
        <w:rPr>
          <w:rFonts w:asciiTheme="minorHAnsi" w:eastAsiaTheme="minorEastAsia" w:hAnsiTheme="minorHAnsi" w:cstheme="minorBidi"/>
          <w:noProof/>
          <w:sz w:val="22"/>
          <w:szCs w:val="22"/>
        </w:rPr>
      </w:pPr>
      <w:r>
        <w:rPr>
          <w:noProof/>
        </w:rPr>
        <w:t>13.3   Spill prevention and containment</w:t>
      </w:r>
      <w:r>
        <w:rPr>
          <w:noProof/>
        </w:rPr>
        <w:tab/>
      </w:r>
      <w:r>
        <w:rPr>
          <w:noProof/>
        </w:rPr>
        <w:fldChar w:fldCharType="begin"/>
      </w:r>
      <w:r>
        <w:rPr>
          <w:noProof/>
        </w:rPr>
        <w:instrText xml:space="preserve"> PAGEREF _Toc101438999 \h </w:instrText>
      </w:r>
      <w:r>
        <w:rPr>
          <w:noProof/>
        </w:rPr>
      </w:r>
      <w:r>
        <w:rPr>
          <w:noProof/>
        </w:rPr>
        <w:fldChar w:fldCharType="separate"/>
      </w:r>
      <w:r>
        <w:rPr>
          <w:noProof/>
        </w:rPr>
        <w:t>30</w:t>
      </w:r>
      <w:r>
        <w:rPr>
          <w:noProof/>
        </w:rPr>
        <w:fldChar w:fldCharType="end"/>
      </w:r>
    </w:p>
    <w:p w14:paraId="5C424549" w14:textId="4D516C0E" w:rsidR="00AB3A98" w:rsidRDefault="00AB3A98">
      <w:pPr>
        <w:pStyle w:val="TOC2"/>
        <w:rPr>
          <w:rFonts w:asciiTheme="minorHAnsi" w:eastAsiaTheme="minorEastAsia" w:hAnsiTheme="minorHAnsi" w:cstheme="minorBidi"/>
          <w:noProof/>
          <w:sz w:val="22"/>
          <w:szCs w:val="22"/>
        </w:rPr>
      </w:pPr>
      <w:r>
        <w:rPr>
          <w:noProof/>
        </w:rPr>
        <w:t>13.4   Spill clean-up</w:t>
      </w:r>
      <w:r>
        <w:rPr>
          <w:noProof/>
        </w:rPr>
        <w:tab/>
      </w:r>
      <w:r>
        <w:rPr>
          <w:noProof/>
        </w:rPr>
        <w:fldChar w:fldCharType="begin"/>
      </w:r>
      <w:r>
        <w:rPr>
          <w:noProof/>
        </w:rPr>
        <w:instrText xml:space="preserve"> PAGEREF _Toc101439000 \h </w:instrText>
      </w:r>
      <w:r>
        <w:rPr>
          <w:noProof/>
        </w:rPr>
      </w:r>
      <w:r>
        <w:rPr>
          <w:noProof/>
        </w:rPr>
        <w:fldChar w:fldCharType="separate"/>
      </w:r>
      <w:r>
        <w:rPr>
          <w:noProof/>
        </w:rPr>
        <w:t>31</w:t>
      </w:r>
      <w:r>
        <w:rPr>
          <w:noProof/>
        </w:rPr>
        <w:fldChar w:fldCharType="end"/>
      </w:r>
    </w:p>
    <w:p w14:paraId="7568DD87" w14:textId="7AFCF659" w:rsidR="00AB3A98" w:rsidRDefault="00AB3A98">
      <w:pPr>
        <w:pStyle w:val="TOC2"/>
        <w:rPr>
          <w:rFonts w:asciiTheme="minorHAnsi" w:eastAsiaTheme="minorEastAsia" w:hAnsiTheme="minorHAnsi" w:cstheme="minorBidi"/>
          <w:noProof/>
          <w:sz w:val="22"/>
          <w:szCs w:val="22"/>
        </w:rPr>
      </w:pPr>
      <w:r>
        <w:rPr>
          <w:noProof/>
        </w:rPr>
        <w:t>13.5   Chemical incidents and spill reporting</w:t>
      </w:r>
      <w:r>
        <w:rPr>
          <w:noProof/>
        </w:rPr>
        <w:tab/>
      </w:r>
      <w:r>
        <w:rPr>
          <w:noProof/>
        </w:rPr>
        <w:fldChar w:fldCharType="begin"/>
      </w:r>
      <w:r>
        <w:rPr>
          <w:noProof/>
        </w:rPr>
        <w:instrText xml:space="preserve"> PAGEREF _Toc101439001 \h </w:instrText>
      </w:r>
      <w:r>
        <w:rPr>
          <w:noProof/>
        </w:rPr>
      </w:r>
      <w:r>
        <w:rPr>
          <w:noProof/>
        </w:rPr>
        <w:fldChar w:fldCharType="separate"/>
      </w:r>
      <w:r>
        <w:rPr>
          <w:noProof/>
        </w:rPr>
        <w:t>31</w:t>
      </w:r>
      <w:r>
        <w:rPr>
          <w:noProof/>
        </w:rPr>
        <w:fldChar w:fldCharType="end"/>
      </w:r>
    </w:p>
    <w:p w14:paraId="53078658" w14:textId="07B5663A" w:rsidR="00AB3A98" w:rsidRDefault="00AB3A98">
      <w:pPr>
        <w:pStyle w:val="TOC1"/>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Emergency Management</w:t>
      </w:r>
      <w:r>
        <w:rPr>
          <w:noProof/>
        </w:rPr>
        <w:tab/>
      </w:r>
      <w:r>
        <w:rPr>
          <w:noProof/>
        </w:rPr>
        <w:fldChar w:fldCharType="begin"/>
      </w:r>
      <w:r>
        <w:rPr>
          <w:noProof/>
        </w:rPr>
        <w:instrText xml:space="preserve"> PAGEREF _Toc101439002 \h </w:instrText>
      </w:r>
      <w:r>
        <w:rPr>
          <w:noProof/>
        </w:rPr>
      </w:r>
      <w:r>
        <w:rPr>
          <w:noProof/>
        </w:rPr>
        <w:fldChar w:fldCharType="separate"/>
      </w:r>
      <w:r>
        <w:rPr>
          <w:noProof/>
        </w:rPr>
        <w:t>31</w:t>
      </w:r>
      <w:r>
        <w:rPr>
          <w:noProof/>
        </w:rPr>
        <w:fldChar w:fldCharType="end"/>
      </w:r>
    </w:p>
    <w:p w14:paraId="62B9B303" w14:textId="4CBD9C4B" w:rsidR="00AB3A98" w:rsidRDefault="00AB3A98">
      <w:pPr>
        <w:pStyle w:val="TOC2"/>
        <w:rPr>
          <w:rFonts w:asciiTheme="minorHAnsi" w:eastAsiaTheme="minorEastAsia" w:hAnsiTheme="minorHAnsi" w:cstheme="minorBidi"/>
          <w:noProof/>
          <w:sz w:val="22"/>
          <w:szCs w:val="22"/>
        </w:rPr>
      </w:pPr>
      <w:r>
        <w:rPr>
          <w:noProof/>
        </w:rPr>
        <w:t>14.1   Emergency Response</w:t>
      </w:r>
      <w:r>
        <w:rPr>
          <w:noProof/>
        </w:rPr>
        <w:tab/>
      </w:r>
      <w:r>
        <w:rPr>
          <w:noProof/>
        </w:rPr>
        <w:fldChar w:fldCharType="begin"/>
      </w:r>
      <w:r>
        <w:rPr>
          <w:noProof/>
        </w:rPr>
        <w:instrText xml:space="preserve"> PAGEREF _Toc101439003 \h </w:instrText>
      </w:r>
      <w:r>
        <w:rPr>
          <w:noProof/>
        </w:rPr>
      </w:r>
      <w:r>
        <w:rPr>
          <w:noProof/>
        </w:rPr>
        <w:fldChar w:fldCharType="separate"/>
      </w:r>
      <w:r>
        <w:rPr>
          <w:noProof/>
        </w:rPr>
        <w:t>31</w:t>
      </w:r>
      <w:r>
        <w:rPr>
          <w:noProof/>
        </w:rPr>
        <w:fldChar w:fldCharType="end"/>
      </w:r>
    </w:p>
    <w:p w14:paraId="09155A27" w14:textId="1DF7739C" w:rsidR="00AB3A98" w:rsidRDefault="00AB3A98">
      <w:pPr>
        <w:pStyle w:val="TOC2"/>
        <w:rPr>
          <w:rFonts w:asciiTheme="minorHAnsi" w:eastAsiaTheme="minorEastAsia" w:hAnsiTheme="minorHAnsi" w:cstheme="minorBidi"/>
          <w:noProof/>
          <w:sz w:val="22"/>
          <w:szCs w:val="22"/>
        </w:rPr>
      </w:pPr>
      <w:r>
        <w:rPr>
          <w:noProof/>
        </w:rPr>
        <w:t>14.2   Emergency Procedures</w:t>
      </w:r>
      <w:r>
        <w:rPr>
          <w:noProof/>
        </w:rPr>
        <w:tab/>
      </w:r>
      <w:r>
        <w:rPr>
          <w:noProof/>
        </w:rPr>
        <w:fldChar w:fldCharType="begin"/>
      </w:r>
      <w:r>
        <w:rPr>
          <w:noProof/>
        </w:rPr>
        <w:instrText xml:space="preserve"> PAGEREF _Toc101439004 \h </w:instrText>
      </w:r>
      <w:r>
        <w:rPr>
          <w:noProof/>
        </w:rPr>
      </w:r>
      <w:r>
        <w:rPr>
          <w:noProof/>
        </w:rPr>
        <w:fldChar w:fldCharType="separate"/>
      </w:r>
      <w:r>
        <w:rPr>
          <w:noProof/>
        </w:rPr>
        <w:t>32</w:t>
      </w:r>
      <w:r>
        <w:rPr>
          <w:noProof/>
        </w:rPr>
        <w:fldChar w:fldCharType="end"/>
      </w:r>
    </w:p>
    <w:p w14:paraId="13303867" w14:textId="3A8734F1" w:rsidR="00AB3A98" w:rsidRDefault="00AB3A98">
      <w:pPr>
        <w:pStyle w:val="TOC2"/>
        <w:rPr>
          <w:rFonts w:asciiTheme="minorHAnsi" w:eastAsiaTheme="minorEastAsia" w:hAnsiTheme="minorHAnsi" w:cstheme="minorBidi"/>
          <w:noProof/>
          <w:sz w:val="22"/>
          <w:szCs w:val="22"/>
        </w:rPr>
      </w:pPr>
      <w:r>
        <w:rPr>
          <w:noProof/>
        </w:rPr>
        <w:t>14.3   Dangerous Goods Manifest and Site Plans</w:t>
      </w:r>
      <w:r>
        <w:rPr>
          <w:noProof/>
        </w:rPr>
        <w:tab/>
      </w:r>
      <w:r>
        <w:rPr>
          <w:noProof/>
        </w:rPr>
        <w:fldChar w:fldCharType="begin"/>
      </w:r>
      <w:r>
        <w:rPr>
          <w:noProof/>
        </w:rPr>
        <w:instrText xml:space="preserve"> PAGEREF _Toc101439006 \h </w:instrText>
      </w:r>
      <w:r>
        <w:rPr>
          <w:noProof/>
        </w:rPr>
      </w:r>
      <w:r>
        <w:rPr>
          <w:noProof/>
        </w:rPr>
        <w:fldChar w:fldCharType="separate"/>
      </w:r>
      <w:r>
        <w:rPr>
          <w:noProof/>
        </w:rPr>
        <w:t>33</w:t>
      </w:r>
      <w:r>
        <w:rPr>
          <w:noProof/>
        </w:rPr>
        <w:fldChar w:fldCharType="end"/>
      </w:r>
    </w:p>
    <w:p w14:paraId="3BF07DAB" w14:textId="7D03DB81" w:rsidR="00AB3A98" w:rsidRDefault="00AB3A98">
      <w:pPr>
        <w:pStyle w:val="TOC1"/>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Incident Reporting</w:t>
      </w:r>
      <w:r>
        <w:rPr>
          <w:noProof/>
        </w:rPr>
        <w:tab/>
      </w:r>
      <w:r>
        <w:rPr>
          <w:noProof/>
        </w:rPr>
        <w:fldChar w:fldCharType="begin"/>
      </w:r>
      <w:r>
        <w:rPr>
          <w:noProof/>
        </w:rPr>
        <w:instrText xml:space="preserve"> PAGEREF _Toc101439007 \h </w:instrText>
      </w:r>
      <w:r>
        <w:rPr>
          <w:noProof/>
        </w:rPr>
      </w:r>
      <w:r>
        <w:rPr>
          <w:noProof/>
        </w:rPr>
        <w:fldChar w:fldCharType="separate"/>
      </w:r>
      <w:r>
        <w:rPr>
          <w:noProof/>
        </w:rPr>
        <w:t>33</w:t>
      </w:r>
      <w:r>
        <w:rPr>
          <w:noProof/>
        </w:rPr>
        <w:fldChar w:fldCharType="end"/>
      </w:r>
    </w:p>
    <w:p w14:paraId="1411D015" w14:textId="11BE6B3D" w:rsidR="00AB3A98" w:rsidRDefault="00AB3A98">
      <w:pPr>
        <w:pStyle w:val="TOC2"/>
        <w:rPr>
          <w:rFonts w:asciiTheme="minorHAnsi" w:eastAsiaTheme="minorEastAsia" w:hAnsiTheme="minorHAnsi" w:cstheme="minorBidi"/>
          <w:noProof/>
          <w:sz w:val="22"/>
          <w:szCs w:val="22"/>
        </w:rPr>
      </w:pPr>
      <w:r>
        <w:rPr>
          <w:noProof/>
        </w:rPr>
        <w:t>15.1   Loss/Theft or suspicious behaviour</w:t>
      </w:r>
      <w:r>
        <w:rPr>
          <w:noProof/>
        </w:rPr>
        <w:tab/>
      </w:r>
      <w:r>
        <w:rPr>
          <w:noProof/>
        </w:rPr>
        <w:fldChar w:fldCharType="begin"/>
      </w:r>
      <w:r>
        <w:rPr>
          <w:noProof/>
        </w:rPr>
        <w:instrText xml:space="preserve"> PAGEREF _Toc101439008 \h </w:instrText>
      </w:r>
      <w:r>
        <w:rPr>
          <w:noProof/>
        </w:rPr>
      </w:r>
      <w:r>
        <w:rPr>
          <w:noProof/>
        </w:rPr>
        <w:fldChar w:fldCharType="separate"/>
      </w:r>
      <w:r>
        <w:rPr>
          <w:noProof/>
        </w:rPr>
        <w:t>33</w:t>
      </w:r>
      <w:r>
        <w:rPr>
          <w:noProof/>
        </w:rPr>
        <w:fldChar w:fldCharType="end"/>
      </w:r>
    </w:p>
    <w:p w14:paraId="0A6869A2" w14:textId="6BA934E3" w:rsidR="00AB3A98" w:rsidRDefault="00AB3A98">
      <w:pPr>
        <w:pStyle w:val="TOC1"/>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Records</w:t>
      </w:r>
      <w:r>
        <w:rPr>
          <w:noProof/>
        </w:rPr>
        <w:tab/>
      </w:r>
      <w:r>
        <w:rPr>
          <w:noProof/>
        </w:rPr>
        <w:fldChar w:fldCharType="begin"/>
      </w:r>
      <w:r>
        <w:rPr>
          <w:noProof/>
        </w:rPr>
        <w:instrText xml:space="preserve"> PAGEREF _Toc101439009 \h </w:instrText>
      </w:r>
      <w:r>
        <w:rPr>
          <w:noProof/>
        </w:rPr>
      </w:r>
      <w:r>
        <w:rPr>
          <w:noProof/>
        </w:rPr>
        <w:fldChar w:fldCharType="separate"/>
      </w:r>
      <w:r>
        <w:rPr>
          <w:noProof/>
        </w:rPr>
        <w:t>33</w:t>
      </w:r>
      <w:r>
        <w:rPr>
          <w:noProof/>
        </w:rPr>
        <w:fldChar w:fldCharType="end"/>
      </w:r>
    </w:p>
    <w:p w14:paraId="62A92193" w14:textId="2909EBFA" w:rsidR="00AB3A98" w:rsidRDefault="00AB3A98">
      <w:pPr>
        <w:pStyle w:val="TOC1"/>
        <w:rPr>
          <w:rFonts w:asciiTheme="minorHAnsi" w:eastAsiaTheme="minorEastAsia" w:hAnsiTheme="minorHAnsi" w:cstheme="minorBidi"/>
          <w:noProof/>
          <w:sz w:val="22"/>
          <w:szCs w:val="22"/>
        </w:rPr>
      </w:pPr>
      <w:r>
        <w:rPr>
          <w:noProof/>
        </w:rPr>
        <w:t>17. Nanomaterials</w:t>
      </w:r>
      <w:r>
        <w:rPr>
          <w:noProof/>
        </w:rPr>
        <w:tab/>
      </w:r>
      <w:r>
        <w:rPr>
          <w:noProof/>
        </w:rPr>
        <w:fldChar w:fldCharType="begin"/>
      </w:r>
      <w:r>
        <w:rPr>
          <w:noProof/>
        </w:rPr>
        <w:instrText xml:space="preserve"> PAGEREF _Toc101439010 \h </w:instrText>
      </w:r>
      <w:r>
        <w:rPr>
          <w:noProof/>
        </w:rPr>
      </w:r>
      <w:r>
        <w:rPr>
          <w:noProof/>
        </w:rPr>
        <w:fldChar w:fldCharType="separate"/>
      </w:r>
      <w:r>
        <w:rPr>
          <w:noProof/>
        </w:rPr>
        <w:t>34</w:t>
      </w:r>
      <w:r>
        <w:rPr>
          <w:noProof/>
        </w:rPr>
        <w:fldChar w:fldCharType="end"/>
      </w:r>
    </w:p>
    <w:p w14:paraId="0D79E750" w14:textId="06E9731A" w:rsidR="00AB3A98" w:rsidRDefault="00AB3A98">
      <w:pPr>
        <w:pStyle w:val="TOC2"/>
        <w:rPr>
          <w:rFonts w:asciiTheme="minorHAnsi" w:eastAsiaTheme="minorEastAsia" w:hAnsiTheme="minorHAnsi" w:cstheme="minorBidi"/>
          <w:noProof/>
          <w:sz w:val="22"/>
          <w:szCs w:val="22"/>
        </w:rPr>
      </w:pPr>
      <w:r>
        <w:rPr>
          <w:noProof/>
        </w:rPr>
        <w:t>17.1   Terminology</w:t>
      </w:r>
      <w:r>
        <w:rPr>
          <w:noProof/>
        </w:rPr>
        <w:tab/>
      </w:r>
      <w:r>
        <w:rPr>
          <w:noProof/>
        </w:rPr>
        <w:fldChar w:fldCharType="begin"/>
      </w:r>
      <w:r>
        <w:rPr>
          <w:noProof/>
        </w:rPr>
        <w:instrText xml:space="preserve"> PAGEREF _Toc101439011 \h </w:instrText>
      </w:r>
      <w:r>
        <w:rPr>
          <w:noProof/>
        </w:rPr>
      </w:r>
      <w:r>
        <w:rPr>
          <w:noProof/>
        </w:rPr>
        <w:fldChar w:fldCharType="separate"/>
      </w:r>
      <w:r>
        <w:rPr>
          <w:noProof/>
        </w:rPr>
        <w:t>34</w:t>
      </w:r>
      <w:r>
        <w:rPr>
          <w:noProof/>
        </w:rPr>
        <w:fldChar w:fldCharType="end"/>
      </w:r>
    </w:p>
    <w:p w14:paraId="18AB928D" w14:textId="6C5B07C5" w:rsidR="00AB3A98" w:rsidRDefault="00AB3A98">
      <w:pPr>
        <w:pStyle w:val="TOC2"/>
        <w:rPr>
          <w:rFonts w:asciiTheme="minorHAnsi" w:eastAsiaTheme="minorEastAsia" w:hAnsiTheme="minorHAnsi" w:cstheme="minorBidi"/>
          <w:noProof/>
          <w:sz w:val="22"/>
          <w:szCs w:val="22"/>
        </w:rPr>
      </w:pPr>
      <w:r>
        <w:rPr>
          <w:noProof/>
        </w:rPr>
        <w:t>17.2   Legislation</w:t>
      </w:r>
      <w:r>
        <w:rPr>
          <w:noProof/>
        </w:rPr>
        <w:tab/>
      </w:r>
      <w:r>
        <w:rPr>
          <w:noProof/>
        </w:rPr>
        <w:fldChar w:fldCharType="begin"/>
      </w:r>
      <w:r>
        <w:rPr>
          <w:noProof/>
        </w:rPr>
        <w:instrText xml:space="preserve"> PAGEREF _Toc101439012 \h </w:instrText>
      </w:r>
      <w:r>
        <w:rPr>
          <w:noProof/>
        </w:rPr>
      </w:r>
      <w:r>
        <w:rPr>
          <w:noProof/>
        </w:rPr>
        <w:fldChar w:fldCharType="separate"/>
      </w:r>
      <w:r>
        <w:rPr>
          <w:noProof/>
        </w:rPr>
        <w:t>34</w:t>
      </w:r>
      <w:r>
        <w:rPr>
          <w:noProof/>
        </w:rPr>
        <w:fldChar w:fldCharType="end"/>
      </w:r>
    </w:p>
    <w:p w14:paraId="0921DE54" w14:textId="6FCD247C" w:rsidR="00AB3A98" w:rsidRDefault="00AB3A98">
      <w:pPr>
        <w:pStyle w:val="TOC2"/>
        <w:rPr>
          <w:rFonts w:asciiTheme="minorHAnsi" w:eastAsiaTheme="minorEastAsia" w:hAnsiTheme="minorHAnsi" w:cstheme="minorBidi"/>
          <w:noProof/>
          <w:sz w:val="22"/>
          <w:szCs w:val="22"/>
        </w:rPr>
      </w:pPr>
      <w:r>
        <w:rPr>
          <w:noProof/>
        </w:rPr>
        <w:t>17.3   Types of Engineered Nanomaterials</w:t>
      </w:r>
      <w:r>
        <w:rPr>
          <w:noProof/>
        </w:rPr>
        <w:tab/>
      </w:r>
      <w:r>
        <w:rPr>
          <w:noProof/>
        </w:rPr>
        <w:fldChar w:fldCharType="begin"/>
      </w:r>
      <w:r>
        <w:rPr>
          <w:noProof/>
        </w:rPr>
        <w:instrText xml:space="preserve"> PAGEREF _Toc101439013 \h </w:instrText>
      </w:r>
      <w:r>
        <w:rPr>
          <w:noProof/>
        </w:rPr>
      </w:r>
      <w:r>
        <w:rPr>
          <w:noProof/>
        </w:rPr>
        <w:fldChar w:fldCharType="separate"/>
      </w:r>
      <w:r>
        <w:rPr>
          <w:noProof/>
        </w:rPr>
        <w:t>34</w:t>
      </w:r>
      <w:r>
        <w:rPr>
          <w:noProof/>
        </w:rPr>
        <w:fldChar w:fldCharType="end"/>
      </w:r>
    </w:p>
    <w:p w14:paraId="735AEB58" w14:textId="002026A7" w:rsidR="00AB3A98" w:rsidRDefault="00AB3A98">
      <w:pPr>
        <w:pStyle w:val="TOC2"/>
        <w:rPr>
          <w:rFonts w:asciiTheme="minorHAnsi" w:eastAsiaTheme="minorEastAsia" w:hAnsiTheme="minorHAnsi" w:cstheme="minorBidi"/>
          <w:noProof/>
          <w:sz w:val="22"/>
          <w:szCs w:val="22"/>
        </w:rPr>
      </w:pPr>
      <w:r>
        <w:rPr>
          <w:noProof/>
        </w:rPr>
        <w:t>17.4   Potential Hazards</w:t>
      </w:r>
      <w:r>
        <w:rPr>
          <w:noProof/>
        </w:rPr>
        <w:tab/>
      </w:r>
      <w:r>
        <w:rPr>
          <w:noProof/>
        </w:rPr>
        <w:fldChar w:fldCharType="begin"/>
      </w:r>
      <w:r>
        <w:rPr>
          <w:noProof/>
        </w:rPr>
        <w:instrText xml:space="preserve"> PAGEREF _Toc101439014 \h </w:instrText>
      </w:r>
      <w:r>
        <w:rPr>
          <w:noProof/>
        </w:rPr>
      </w:r>
      <w:r>
        <w:rPr>
          <w:noProof/>
        </w:rPr>
        <w:fldChar w:fldCharType="separate"/>
      </w:r>
      <w:r>
        <w:rPr>
          <w:noProof/>
        </w:rPr>
        <w:t>36</w:t>
      </w:r>
      <w:r>
        <w:rPr>
          <w:noProof/>
        </w:rPr>
        <w:fldChar w:fldCharType="end"/>
      </w:r>
    </w:p>
    <w:p w14:paraId="02037CF8" w14:textId="393EE647" w:rsidR="00AB3A98" w:rsidRDefault="00AB3A98">
      <w:pPr>
        <w:pStyle w:val="TOC2"/>
        <w:rPr>
          <w:rFonts w:asciiTheme="minorHAnsi" w:eastAsiaTheme="minorEastAsia" w:hAnsiTheme="minorHAnsi" w:cstheme="minorBidi"/>
          <w:noProof/>
          <w:sz w:val="22"/>
          <w:szCs w:val="22"/>
        </w:rPr>
      </w:pPr>
      <w:r>
        <w:rPr>
          <w:noProof/>
        </w:rPr>
        <w:t>17.5   SDSs and Control Banding for risk assessment.</w:t>
      </w:r>
      <w:r>
        <w:rPr>
          <w:noProof/>
        </w:rPr>
        <w:tab/>
      </w:r>
      <w:r>
        <w:rPr>
          <w:noProof/>
        </w:rPr>
        <w:fldChar w:fldCharType="begin"/>
      </w:r>
      <w:r>
        <w:rPr>
          <w:noProof/>
        </w:rPr>
        <w:instrText xml:space="preserve"> PAGEREF _Toc101439015 \h </w:instrText>
      </w:r>
      <w:r>
        <w:rPr>
          <w:noProof/>
        </w:rPr>
      </w:r>
      <w:r>
        <w:rPr>
          <w:noProof/>
        </w:rPr>
        <w:fldChar w:fldCharType="separate"/>
      </w:r>
      <w:r>
        <w:rPr>
          <w:noProof/>
        </w:rPr>
        <w:t>36</w:t>
      </w:r>
      <w:r>
        <w:rPr>
          <w:noProof/>
        </w:rPr>
        <w:fldChar w:fldCharType="end"/>
      </w:r>
    </w:p>
    <w:p w14:paraId="5ADDDC15" w14:textId="46A0E3DD" w:rsidR="00AB3A98" w:rsidRDefault="00AB3A98">
      <w:pPr>
        <w:pStyle w:val="TOC2"/>
        <w:rPr>
          <w:rFonts w:asciiTheme="minorHAnsi" w:eastAsiaTheme="minorEastAsia" w:hAnsiTheme="minorHAnsi" w:cstheme="minorBidi"/>
          <w:noProof/>
          <w:sz w:val="22"/>
          <w:szCs w:val="22"/>
        </w:rPr>
      </w:pPr>
      <w:r>
        <w:rPr>
          <w:noProof/>
        </w:rPr>
        <w:t>17.6   Labelling</w:t>
      </w:r>
      <w:r>
        <w:rPr>
          <w:noProof/>
        </w:rPr>
        <w:tab/>
      </w:r>
      <w:r>
        <w:rPr>
          <w:noProof/>
        </w:rPr>
        <w:fldChar w:fldCharType="begin"/>
      </w:r>
      <w:r>
        <w:rPr>
          <w:noProof/>
        </w:rPr>
        <w:instrText xml:space="preserve"> PAGEREF _Toc101439016 \h </w:instrText>
      </w:r>
      <w:r>
        <w:rPr>
          <w:noProof/>
        </w:rPr>
      </w:r>
      <w:r>
        <w:rPr>
          <w:noProof/>
        </w:rPr>
        <w:fldChar w:fldCharType="separate"/>
      </w:r>
      <w:r>
        <w:rPr>
          <w:noProof/>
        </w:rPr>
        <w:t>36</w:t>
      </w:r>
      <w:r>
        <w:rPr>
          <w:noProof/>
        </w:rPr>
        <w:fldChar w:fldCharType="end"/>
      </w:r>
    </w:p>
    <w:p w14:paraId="0C50EEFF" w14:textId="51C21DED" w:rsidR="00AB3A98" w:rsidRDefault="00AB3A98">
      <w:pPr>
        <w:pStyle w:val="TOC2"/>
        <w:rPr>
          <w:rFonts w:asciiTheme="minorHAnsi" w:eastAsiaTheme="minorEastAsia" w:hAnsiTheme="minorHAnsi" w:cstheme="minorBidi"/>
          <w:noProof/>
          <w:sz w:val="22"/>
          <w:szCs w:val="22"/>
        </w:rPr>
      </w:pPr>
      <w:r>
        <w:rPr>
          <w:noProof/>
        </w:rPr>
        <w:t>17.7   Spills</w:t>
      </w:r>
      <w:r>
        <w:rPr>
          <w:noProof/>
        </w:rPr>
        <w:tab/>
      </w:r>
      <w:r>
        <w:rPr>
          <w:noProof/>
        </w:rPr>
        <w:fldChar w:fldCharType="begin"/>
      </w:r>
      <w:r>
        <w:rPr>
          <w:noProof/>
        </w:rPr>
        <w:instrText xml:space="preserve"> PAGEREF _Toc101439017 \h </w:instrText>
      </w:r>
      <w:r>
        <w:rPr>
          <w:noProof/>
        </w:rPr>
      </w:r>
      <w:r>
        <w:rPr>
          <w:noProof/>
        </w:rPr>
        <w:fldChar w:fldCharType="separate"/>
      </w:r>
      <w:r>
        <w:rPr>
          <w:noProof/>
        </w:rPr>
        <w:t>37</w:t>
      </w:r>
      <w:r>
        <w:rPr>
          <w:noProof/>
        </w:rPr>
        <w:fldChar w:fldCharType="end"/>
      </w:r>
    </w:p>
    <w:p w14:paraId="17ED5D31" w14:textId="20F4BEF7" w:rsidR="00AB3A98" w:rsidRDefault="00AB3A98">
      <w:pPr>
        <w:pStyle w:val="TOC2"/>
        <w:rPr>
          <w:rFonts w:asciiTheme="minorHAnsi" w:eastAsiaTheme="minorEastAsia" w:hAnsiTheme="minorHAnsi" w:cstheme="minorBidi"/>
          <w:noProof/>
          <w:sz w:val="22"/>
          <w:szCs w:val="22"/>
        </w:rPr>
      </w:pPr>
      <w:r>
        <w:rPr>
          <w:noProof/>
        </w:rPr>
        <w:t>17.8   Nano waste Management</w:t>
      </w:r>
      <w:r>
        <w:rPr>
          <w:noProof/>
        </w:rPr>
        <w:tab/>
      </w:r>
      <w:r>
        <w:rPr>
          <w:noProof/>
        </w:rPr>
        <w:fldChar w:fldCharType="begin"/>
      </w:r>
      <w:r>
        <w:rPr>
          <w:noProof/>
        </w:rPr>
        <w:instrText xml:space="preserve"> PAGEREF _Toc101439018 \h </w:instrText>
      </w:r>
      <w:r>
        <w:rPr>
          <w:noProof/>
        </w:rPr>
      </w:r>
      <w:r>
        <w:rPr>
          <w:noProof/>
        </w:rPr>
        <w:fldChar w:fldCharType="separate"/>
      </w:r>
      <w:r>
        <w:rPr>
          <w:noProof/>
        </w:rPr>
        <w:t>37</w:t>
      </w:r>
      <w:r>
        <w:rPr>
          <w:noProof/>
        </w:rPr>
        <w:fldChar w:fldCharType="end"/>
      </w:r>
    </w:p>
    <w:p w14:paraId="081CEF41" w14:textId="4408FDA5" w:rsidR="00AB3A98" w:rsidRDefault="00AB3A98">
      <w:pPr>
        <w:pStyle w:val="TOC1"/>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Security Risk Substances (SRS)</w:t>
      </w:r>
      <w:r>
        <w:rPr>
          <w:noProof/>
        </w:rPr>
        <w:tab/>
      </w:r>
      <w:r>
        <w:rPr>
          <w:noProof/>
        </w:rPr>
        <w:fldChar w:fldCharType="begin"/>
      </w:r>
      <w:r>
        <w:rPr>
          <w:noProof/>
        </w:rPr>
        <w:instrText xml:space="preserve"> PAGEREF _Toc101439019 \h </w:instrText>
      </w:r>
      <w:r>
        <w:rPr>
          <w:noProof/>
        </w:rPr>
      </w:r>
      <w:r>
        <w:rPr>
          <w:noProof/>
        </w:rPr>
        <w:fldChar w:fldCharType="separate"/>
      </w:r>
      <w:r>
        <w:rPr>
          <w:noProof/>
        </w:rPr>
        <w:t>37</w:t>
      </w:r>
      <w:r>
        <w:rPr>
          <w:noProof/>
        </w:rPr>
        <w:fldChar w:fldCharType="end"/>
      </w:r>
    </w:p>
    <w:p w14:paraId="59134AE8" w14:textId="2A9CD6A4" w:rsidR="00AB3A98" w:rsidRDefault="00AB3A98">
      <w:pPr>
        <w:pStyle w:val="TOC2"/>
        <w:rPr>
          <w:rFonts w:asciiTheme="minorHAnsi" w:eastAsiaTheme="minorEastAsia" w:hAnsiTheme="minorHAnsi" w:cstheme="minorBidi"/>
          <w:noProof/>
          <w:sz w:val="22"/>
          <w:szCs w:val="22"/>
        </w:rPr>
      </w:pPr>
      <w:r>
        <w:rPr>
          <w:noProof/>
        </w:rPr>
        <w:t>18.1   Ammonium Nitrate</w:t>
      </w:r>
      <w:r>
        <w:rPr>
          <w:noProof/>
        </w:rPr>
        <w:tab/>
      </w:r>
      <w:r>
        <w:rPr>
          <w:noProof/>
        </w:rPr>
        <w:fldChar w:fldCharType="begin"/>
      </w:r>
      <w:r>
        <w:rPr>
          <w:noProof/>
        </w:rPr>
        <w:instrText xml:space="preserve"> PAGEREF _Toc101439020 \h </w:instrText>
      </w:r>
      <w:r>
        <w:rPr>
          <w:noProof/>
        </w:rPr>
      </w:r>
      <w:r>
        <w:rPr>
          <w:noProof/>
        </w:rPr>
        <w:fldChar w:fldCharType="separate"/>
      </w:r>
      <w:r>
        <w:rPr>
          <w:noProof/>
        </w:rPr>
        <w:t>37</w:t>
      </w:r>
      <w:r>
        <w:rPr>
          <w:noProof/>
        </w:rPr>
        <w:fldChar w:fldCharType="end"/>
      </w:r>
    </w:p>
    <w:p w14:paraId="542D8C42" w14:textId="2310D181" w:rsidR="00AB3A98" w:rsidRDefault="00AB3A98">
      <w:pPr>
        <w:pStyle w:val="TOC2"/>
        <w:rPr>
          <w:rFonts w:asciiTheme="minorHAnsi" w:eastAsiaTheme="minorEastAsia" w:hAnsiTheme="minorHAnsi" w:cstheme="minorBidi"/>
          <w:noProof/>
          <w:sz w:val="22"/>
          <w:szCs w:val="22"/>
        </w:rPr>
      </w:pPr>
      <w:r>
        <w:rPr>
          <w:noProof/>
        </w:rPr>
        <w:t>18.2   Licencing and Exemption Quantities</w:t>
      </w:r>
      <w:r>
        <w:rPr>
          <w:noProof/>
        </w:rPr>
        <w:tab/>
      </w:r>
      <w:r>
        <w:rPr>
          <w:noProof/>
        </w:rPr>
        <w:fldChar w:fldCharType="begin"/>
      </w:r>
      <w:r>
        <w:rPr>
          <w:noProof/>
        </w:rPr>
        <w:instrText xml:space="preserve"> PAGEREF _Toc101439021 \h </w:instrText>
      </w:r>
      <w:r>
        <w:rPr>
          <w:noProof/>
        </w:rPr>
      </w:r>
      <w:r>
        <w:rPr>
          <w:noProof/>
        </w:rPr>
        <w:fldChar w:fldCharType="separate"/>
      </w:r>
      <w:r>
        <w:rPr>
          <w:noProof/>
        </w:rPr>
        <w:t>38</w:t>
      </w:r>
      <w:r>
        <w:rPr>
          <w:noProof/>
        </w:rPr>
        <w:fldChar w:fldCharType="end"/>
      </w:r>
    </w:p>
    <w:p w14:paraId="726AA1FB" w14:textId="08B4F727" w:rsidR="00AB3A98" w:rsidRDefault="00AB3A98">
      <w:pPr>
        <w:pStyle w:val="TOC1"/>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Chemicals of Security Concern</w:t>
      </w:r>
      <w:r>
        <w:rPr>
          <w:noProof/>
        </w:rPr>
        <w:tab/>
      </w:r>
      <w:r>
        <w:rPr>
          <w:noProof/>
        </w:rPr>
        <w:fldChar w:fldCharType="begin"/>
      </w:r>
      <w:r>
        <w:rPr>
          <w:noProof/>
        </w:rPr>
        <w:instrText xml:space="preserve"> PAGEREF _Toc101439022 \h </w:instrText>
      </w:r>
      <w:r>
        <w:rPr>
          <w:noProof/>
        </w:rPr>
      </w:r>
      <w:r>
        <w:rPr>
          <w:noProof/>
        </w:rPr>
        <w:fldChar w:fldCharType="separate"/>
      </w:r>
      <w:r>
        <w:rPr>
          <w:noProof/>
        </w:rPr>
        <w:t>38</w:t>
      </w:r>
      <w:r>
        <w:rPr>
          <w:noProof/>
        </w:rPr>
        <w:fldChar w:fldCharType="end"/>
      </w:r>
    </w:p>
    <w:p w14:paraId="7FD50A7F" w14:textId="5689463B" w:rsidR="00AB3A98" w:rsidRDefault="00AB3A98">
      <w:pPr>
        <w:pStyle w:val="TOC2"/>
        <w:rPr>
          <w:rFonts w:asciiTheme="minorHAnsi" w:eastAsiaTheme="minorEastAsia" w:hAnsiTheme="minorHAnsi" w:cstheme="minorBidi"/>
          <w:noProof/>
          <w:sz w:val="22"/>
          <w:szCs w:val="22"/>
        </w:rPr>
      </w:pPr>
      <w:r>
        <w:rPr>
          <w:noProof/>
        </w:rPr>
        <w:t>19.1   Introduction</w:t>
      </w:r>
      <w:r>
        <w:rPr>
          <w:noProof/>
        </w:rPr>
        <w:tab/>
      </w:r>
      <w:r>
        <w:rPr>
          <w:noProof/>
        </w:rPr>
        <w:fldChar w:fldCharType="begin"/>
      </w:r>
      <w:r>
        <w:rPr>
          <w:noProof/>
        </w:rPr>
        <w:instrText xml:space="preserve"> PAGEREF _Toc101439023 \h </w:instrText>
      </w:r>
      <w:r>
        <w:rPr>
          <w:noProof/>
        </w:rPr>
      </w:r>
      <w:r>
        <w:rPr>
          <w:noProof/>
        </w:rPr>
        <w:fldChar w:fldCharType="separate"/>
      </w:r>
      <w:r>
        <w:rPr>
          <w:noProof/>
        </w:rPr>
        <w:t>38</w:t>
      </w:r>
      <w:r>
        <w:rPr>
          <w:noProof/>
        </w:rPr>
        <w:fldChar w:fldCharType="end"/>
      </w:r>
    </w:p>
    <w:p w14:paraId="2B00B521" w14:textId="133E4FEE" w:rsidR="00AB3A98" w:rsidRDefault="00AB3A98">
      <w:pPr>
        <w:pStyle w:val="TOC2"/>
        <w:rPr>
          <w:rFonts w:asciiTheme="minorHAnsi" w:eastAsiaTheme="minorEastAsia" w:hAnsiTheme="minorHAnsi" w:cstheme="minorBidi"/>
          <w:noProof/>
          <w:sz w:val="22"/>
          <w:szCs w:val="22"/>
        </w:rPr>
      </w:pPr>
      <w:r>
        <w:rPr>
          <w:noProof/>
        </w:rPr>
        <w:t>19.2   Chemicals covered by the code</w:t>
      </w:r>
      <w:r>
        <w:rPr>
          <w:noProof/>
        </w:rPr>
        <w:tab/>
      </w:r>
      <w:r>
        <w:rPr>
          <w:noProof/>
        </w:rPr>
        <w:fldChar w:fldCharType="begin"/>
      </w:r>
      <w:r>
        <w:rPr>
          <w:noProof/>
        </w:rPr>
        <w:instrText xml:space="preserve"> PAGEREF _Toc101439024 \h </w:instrText>
      </w:r>
      <w:r>
        <w:rPr>
          <w:noProof/>
        </w:rPr>
      </w:r>
      <w:r>
        <w:rPr>
          <w:noProof/>
        </w:rPr>
        <w:fldChar w:fldCharType="separate"/>
      </w:r>
      <w:r>
        <w:rPr>
          <w:noProof/>
        </w:rPr>
        <w:t>38</w:t>
      </w:r>
      <w:r>
        <w:rPr>
          <w:noProof/>
        </w:rPr>
        <w:fldChar w:fldCharType="end"/>
      </w:r>
    </w:p>
    <w:p w14:paraId="55318ABA" w14:textId="2165B69F" w:rsidR="00AB3A98" w:rsidRDefault="00AB3A98">
      <w:pPr>
        <w:pStyle w:val="TOC2"/>
        <w:rPr>
          <w:rFonts w:asciiTheme="minorHAnsi" w:eastAsiaTheme="minorEastAsia" w:hAnsiTheme="minorHAnsi" w:cstheme="minorBidi"/>
          <w:noProof/>
          <w:sz w:val="22"/>
          <w:szCs w:val="22"/>
        </w:rPr>
      </w:pPr>
      <w:r>
        <w:rPr>
          <w:noProof/>
        </w:rPr>
        <w:t>19.3   Application of the Code in Universities</w:t>
      </w:r>
      <w:r>
        <w:rPr>
          <w:noProof/>
        </w:rPr>
        <w:tab/>
      </w:r>
      <w:r>
        <w:rPr>
          <w:noProof/>
        </w:rPr>
        <w:fldChar w:fldCharType="begin"/>
      </w:r>
      <w:r>
        <w:rPr>
          <w:noProof/>
        </w:rPr>
        <w:instrText xml:space="preserve"> PAGEREF _Toc101439025 \h </w:instrText>
      </w:r>
      <w:r>
        <w:rPr>
          <w:noProof/>
        </w:rPr>
      </w:r>
      <w:r>
        <w:rPr>
          <w:noProof/>
        </w:rPr>
        <w:fldChar w:fldCharType="separate"/>
      </w:r>
      <w:r>
        <w:rPr>
          <w:noProof/>
        </w:rPr>
        <w:t>40</w:t>
      </w:r>
      <w:r>
        <w:rPr>
          <w:noProof/>
        </w:rPr>
        <w:fldChar w:fldCharType="end"/>
      </w:r>
    </w:p>
    <w:p w14:paraId="68A3F64E" w14:textId="72F50837" w:rsidR="00AB3A98" w:rsidRDefault="00AB3A98">
      <w:pPr>
        <w:pStyle w:val="TOC2"/>
        <w:rPr>
          <w:rFonts w:asciiTheme="minorHAnsi" w:eastAsiaTheme="minorEastAsia" w:hAnsiTheme="minorHAnsi" w:cstheme="minorBidi"/>
          <w:noProof/>
          <w:sz w:val="22"/>
          <w:szCs w:val="22"/>
        </w:rPr>
      </w:pPr>
      <w:r>
        <w:rPr>
          <w:noProof/>
        </w:rPr>
        <w:t>19.4   Reporting</w:t>
      </w:r>
      <w:r>
        <w:rPr>
          <w:noProof/>
        </w:rPr>
        <w:tab/>
      </w:r>
      <w:r>
        <w:rPr>
          <w:noProof/>
        </w:rPr>
        <w:fldChar w:fldCharType="begin"/>
      </w:r>
      <w:r>
        <w:rPr>
          <w:noProof/>
        </w:rPr>
        <w:instrText xml:space="preserve"> PAGEREF _Toc101439026 \h </w:instrText>
      </w:r>
      <w:r>
        <w:rPr>
          <w:noProof/>
        </w:rPr>
      </w:r>
      <w:r>
        <w:rPr>
          <w:noProof/>
        </w:rPr>
        <w:fldChar w:fldCharType="separate"/>
      </w:r>
      <w:r>
        <w:rPr>
          <w:noProof/>
        </w:rPr>
        <w:t>41</w:t>
      </w:r>
      <w:r>
        <w:rPr>
          <w:noProof/>
        </w:rPr>
        <w:fldChar w:fldCharType="end"/>
      </w:r>
    </w:p>
    <w:p w14:paraId="752D0E63" w14:textId="0EB7FD00" w:rsidR="00AB3A98" w:rsidRDefault="00AB3A98">
      <w:pPr>
        <w:pStyle w:val="TOC1"/>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Scheduled Poisons</w:t>
      </w:r>
      <w:r>
        <w:rPr>
          <w:noProof/>
        </w:rPr>
        <w:tab/>
      </w:r>
      <w:r>
        <w:rPr>
          <w:noProof/>
        </w:rPr>
        <w:fldChar w:fldCharType="begin"/>
      </w:r>
      <w:r>
        <w:rPr>
          <w:noProof/>
        </w:rPr>
        <w:instrText xml:space="preserve"> PAGEREF _Toc101439027 \h </w:instrText>
      </w:r>
      <w:r>
        <w:rPr>
          <w:noProof/>
        </w:rPr>
      </w:r>
      <w:r>
        <w:rPr>
          <w:noProof/>
        </w:rPr>
        <w:fldChar w:fldCharType="separate"/>
      </w:r>
      <w:r>
        <w:rPr>
          <w:noProof/>
        </w:rPr>
        <w:t>41</w:t>
      </w:r>
      <w:r>
        <w:rPr>
          <w:noProof/>
        </w:rPr>
        <w:fldChar w:fldCharType="end"/>
      </w:r>
    </w:p>
    <w:p w14:paraId="5C8DD610" w14:textId="4D7B5EBA" w:rsidR="00AB3A98" w:rsidRDefault="00AB3A98">
      <w:pPr>
        <w:pStyle w:val="TOC2"/>
        <w:rPr>
          <w:rFonts w:asciiTheme="minorHAnsi" w:eastAsiaTheme="minorEastAsia" w:hAnsiTheme="minorHAnsi" w:cstheme="minorBidi"/>
          <w:noProof/>
          <w:sz w:val="22"/>
          <w:szCs w:val="22"/>
        </w:rPr>
      </w:pPr>
      <w:r>
        <w:rPr>
          <w:noProof/>
        </w:rPr>
        <w:t>20.1   Scheduled Poisons, Medicines and Drugs</w:t>
      </w:r>
      <w:r>
        <w:rPr>
          <w:noProof/>
        </w:rPr>
        <w:tab/>
      </w:r>
      <w:r>
        <w:rPr>
          <w:noProof/>
        </w:rPr>
        <w:fldChar w:fldCharType="begin"/>
      </w:r>
      <w:r>
        <w:rPr>
          <w:noProof/>
        </w:rPr>
        <w:instrText xml:space="preserve"> PAGEREF _Toc101439028 \h </w:instrText>
      </w:r>
      <w:r>
        <w:rPr>
          <w:noProof/>
        </w:rPr>
      </w:r>
      <w:r>
        <w:rPr>
          <w:noProof/>
        </w:rPr>
        <w:fldChar w:fldCharType="separate"/>
      </w:r>
      <w:r>
        <w:rPr>
          <w:noProof/>
        </w:rPr>
        <w:t>41</w:t>
      </w:r>
      <w:r>
        <w:rPr>
          <w:noProof/>
        </w:rPr>
        <w:fldChar w:fldCharType="end"/>
      </w:r>
    </w:p>
    <w:p w14:paraId="485A0572" w14:textId="2E073C79" w:rsidR="00AB3A98" w:rsidRDefault="00AB3A98">
      <w:pPr>
        <w:pStyle w:val="TOC2"/>
        <w:rPr>
          <w:rFonts w:asciiTheme="minorHAnsi" w:eastAsiaTheme="minorEastAsia" w:hAnsiTheme="minorHAnsi" w:cstheme="minorBidi"/>
          <w:noProof/>
          <w:sz w:val="22"/>
          <w:szCs w:val="22"/>
        </w:rPr>
      </w:pPr>
      <w:r>
        <w:rPr>
          <w:noProof/>
        </w:rPr>
        <w:t>20.2   Definition of Schedules</w:t>
      </w:r>
      <w:r>
        <w:rPr>
          <w:noProof/>
        </w:rPr>
        <w:tab/>
      </w:r>
      <w:r>
        <w:rPr>
          <w:noProof/>
        </w:rPr>
        <w:fldChar w:fldCharType="begin"/>
      </w:r>
      <w:r>
        <w:rPr>
          <w:noProof/>
        </w:rPr>
        <w:instrText xml:space="preserve"> PAGEREF _Toc101439029 \h </w:instrText>
      </w:r>
      <w:r>
        <w:rPr>
          <w:noProof/>
        </w:rPr>
      </w:r>
      <w:r>
        <w:rPr>
          <w:noProof/>
        </w:rPr>
        <w:fldChar w:fldCharType="separate"/>
      </w:r>
      <w:r>
        <w:rPr>
          <w:noProof/>
        </w:rPr>
        <w:t>41</w:t>
      </w:r>
      <w:r>
        <w:rPr>
          <w:noProof/>
        </w:rPr>
        <w:fldChar w:fldCharType="end"/>
      </w:r>
    </w:p>
    <w:p w14:paraId="408FB3E4" w14:textId="1665B0C8" w:rsidR="00AB3A98" w:rsidRDefault="00AB3A98">
      <w:pPr>
        <w:pStyle w:val="TOC2"/>
        <w:rPr>
          <w:rFonts w:asciiTheme="minorHAnsi" w:eastAsiaTheme="minorEastAsia" w:hAnsiTheme="minorHAnsi" w:cstheme="minorBidi"/>
          <w:noProof/>
          <w:sz w:val="22"/>
          <w:szCs w:val="22"/>
        </w:rPr>
      </w:pPr>
      <w:r>
        <w:rPr>
          <w:noProof/>
        </w:rPr>
        <w:t>20.3   Poisons Permit</w:t>
      </w:r>
      <w:r>
        <w:rPr>
          <w:noProof/>
        </w:rPr>
        <w:tab/>
      </w:r>
      <w:r>
        <w:rPr>
          <w:noProof/>
        </w:rPr>
        <w:fldChar w:fldCharType="begin"/>
      </w:r>
      <w:r>
        <w:rPr>
          <w:noProof/>
        </w:rPr>
        <w:instrText xml:space="preserve"> PAGEREF _Toc101439030 \h </w:instrText>
      </w:r>
      <w:r>
        <w:rPr>
          <w:noProof/>
        </w:rPr>
      </w:r>
      <w:r>
        <w:rPr>
          <w:noProof/>
        </w:rPr>
        <w:fldChar w:fldCharType="separate"/>
      </w:r>
      <w:r>
        <w:rPr>
          <w:noProof/>
        </w:rPr>
        <w:t>42</w:t>
      </w:r>
      <w:r>
        <w:rPr>
          <w:noProof/>
        </w:rPr>
        <w:fldChar w:fldCharType="end"/>
      </w:r>
    </w:p>
    <w:p w14:paraId="63F5049F" w14:textId="24153434" w:rsidR="00AB3A98" w:rsidRDefault="00AB3A98">
      <w:pPr>
        <w:pStyle w:val="TOC2"/>
        <w:rPr>
          <w:rFonts w:asciiTheme="minorHAnsi" w:eastAsiaTheme="minorEastAsia" w:hAnsiTheme="minorHAnsi" w:cstheme="minorBidi"/>
          <w:noProof/>
          <w:sz w:val="22"/>
          <w:szCs w:val="22"/>
        </w:rPr>
      </w:pPr>
      <w:r>
        <w:rPr>
          <w:noProof/>
        </w:rPr>
        <w:t>20.4   Purchase</w:t>
      </w:r>
      <w:r>
        <w:rPr>
          <w:noProof/>
        </w:rPr>
        <w:tab/>
      </w:r>
      <w:r>
        <w:rPr>
          <w:noProof/>
        </w:rPr>
        <w:fldChar w:fldCharType="begin"/>
      </w:r>
      <w:r>
        <w:rPr>
          <w:noProof/>
        </w:rPr>
        <w:instrText xml:space="preserve"> PAGEREF _Toc101439031 \h </w:instrText>
      </w:r>
      <w:r>
        <w:rPr>
          <w:noProof/>
        </w:rPr>
      </w:r>
      <w:r>
        <w:rPr>
          <w:noProof/>
        </w:rPr>
        <w:fldChar w:fldCharType="separate"/>
      </w:r>
      <w:r>
        <w:rPr>
          <w:noProof/>
        </w:rPr>
        <w:t>42</w:t>
      </w:r>
      <w:r>
        <w:rPr>
          <w:noProof/>
        </w:rPr>
        <w:fldChar w:fldCharType="end"/>
      </w:r>
    </w:p>
    <w:p w14:paraId="49BF3CF3" w14:textId="56FD1AC6" w:rsidR="00AB3A98" w:rsidRDefault="00AB3A98">
      <w:pPr>
        <w:pStyle w:val="TOC2"/>
        <w:rPr>
          <w:rFonts w:asciiTheme="minorHAnsi" w:eastAsiaTheme="minorEastAsia" w:hAnsiTheme="minorHAnsi" w:cstheme="minorBidi"/>
          <w:noProof/>
          <w:sz w:val="22"/>
          <w:szCs w:val="22"/>
        </w:rPr>
      </w:pPr>
      <w:r>
        <w:rPr>
          <w:noProof/>
        </w:rPr>
        <w:lastRenderedPageBreak/>
        <w:t>20.5   Storage &amp; Access Arrangements</w:t>
      </w:r>
      <w:r>
        <w:rPr>
          <w:noProof/>
        </w:rPr>
        <w:tab/>
      </w:r>
      <w:r>
        <w:rPr>
          <w:noProof/>
        </w:rPr>
        <w:fldChar w:fldCharType="begin"/>
      </w:r>
      <w:r>
        <w:rPr>
          <w:noProof/>
        </w:rPr>
        <w:instrText xml:space="preserve"> PAGEREF _Toc101439032 \h </w:instrText>
      </w:r>
      <w:r>
        <w:rPr>
          <w:noProof/>
        </w:rPr>
      </w:r>
      <w:r>
        <w:rPr>
          <w:noProof/>
        </w:rPr>
        <w:fldChar w:fldCharType="separate"/>
      </w:r>
      <w:r>
        <w:rPr>
          <w:noProof/>
        </w:rPr>
        <w:t>42</w:t>
      </w:r>
      <w:r>
        <w:rPr>
          <w:noProof/>
        </w:rPr>
        <w:fldChar w:fldCharType="end"/>
      </w:r>
    </w:p>
    <w:p w14:paraId="4892136A" w14:textId="6F46E6E7" w:rsidR="00AB3A98" w:rsidRDefault="00AB3A98">
      <w:pPr>
        <w:pStyle w:val="TOC2"/>
        <w:rPr>
          <w:rFonts w:asciiTheme="minorHAnsi" w:eastAsiaTheme="minorEastAsia" w:hAnsiTheme="minorHAnsi" w:cstheme="minorBidi"/>
          <w:noProof/>
          <w:sz w:val="22"/>
          <w:szCs w:val="22"/>
        </w:rPr>
      </w:pPr>
      <w:r>
        <w:rPr>
          <w:noProof/>
        </w:rPr>
        <w:t>20.6   Record Keeping Poisons</w:t>
      </w:r>
      <w:r>
        <w:rPr>
          <w:noProof/>
        </w:rPr>
        <w:tab/>
      </w:r>
      <w:r>
        <w:rPr>
          <w:noProof/>
        </w:rPr>
        <w:fldChar w:fldCharType="begin"/>
      </w:r>
      <w:r>
        <w:rPr>
          <w:noProof/>
        </w:rPr>
        <w:instrText xml:space="preserve"> PAGEREF _Toc101439033 \h </w:instrText>
      </w:r>
      <w:r>
        <w:rPr>
          <w:noProof/>
        </w:rPr>
      </w:r>
      <w:r>
        <w:rPr>
          <w:noProof/>
        </w:rPr>
        <w:fldChar w:fldCharType="separate"/>
      </w:r>
      <w:r>
        <w:rPr>
          <w:noProof/>
        </w:rPr>
        <w:t>43</w:t>
      </w:r>
      <w:r>
        <w:rPr>
          <w:noProof/>
        </w:rPr>
        <w:fldChar w:fldCharType="end"/>
      </w:r>
    </w:p>
    <w:p w14:paraId="26FF9AE2" w14:textId="6D623B9C" w:rsidR="00AB3A98" w:rsidRDefault="00AB3A98">
      <w:pPr>
        <w:pStyle w:val="TOC2"/>
        <w:rPr>
          <w:rFonts w:asciiTheme="minorHAnsi" w:eastAsiaTheme="minorEastAsia" w:hAnsiTheme="minorHAnsi" w:cstheme="minorBidi"/>
          <w:noProof/>
          <w:sz w:val="22"/>
          <w:szCs w:val="22"/>
        </w:rPr>
      </w:pPr>
      <w:r>
        <w:rPr>
          <w:noProof/>
        </w:rPr>
        <w:t>20.7   Labelling</w:t>
      </w:r>
      <w:r>
        <w:rPr>
          <w:noProof/>
        </w:rPr>
        <w:tab/>
      </w:r>
      <w:r>
        <w:rPr>
          <w:noProof/>
        </w:rPr>
        <w:fldChar w:fldCharType="begin"/>
      </w:r>
      <w:r>
        <w:rPr>
          <w:noProof/>
        </w:rPr>
        <w:instrText xml:space="preserve"> PAGEREF _Toc101439034 \h </w:instrText>
      </w:r>
      <w:r>
        <w:rPr>
          <w:noProof/>
        </w:rPr>
      </w:r>
      <w:r>
        <w:rPr>
          <w:noProof/>
        </w:rPr>
        <w:fldChar w:fldCharType="separate"/>
      </w:r>
      <w:r>
        <w:rPr>
          <w:noProof/>
        </w:rPr>
        <w:t>43</w:t>
      </w:r>
      <w:r>
        <w:rPr>
          <w:noProof/>
        </w:rPr>
        <w:fldChar w:fldCharType="end"/>
      </w:r>
    </w:p>
    <w:p w14:paraId="36E58D9E" w14:textId="1C818D09" w:rsidR="00AB3A98" w:rsidRDefault="00AB3A98">
      <w:pPr>
        <w:pStyle w:val="TOC2"/>
        <w:rPr>
          <w:rFonts w:asciiTheme="minorHAnsi" w:eastAsiaTheme="minorEastAsia" w:hAnsiTheme="minorHAnsi" w:cstheme="minorBidi"/>
          <w:noProof/>
          <w:sz w:val="22"/>
          <w:szCs w:val="22"/>
        </w:rPr>
      </w:pPr>
      <w:r>
        <w:rPr>
          <w:noProof/>
        </w:rPr>
        <w:t>20.8   Disposal</w:t>
      </w:r>
      <w:r>
        <w:rPr>
          <w:noProof/>
        </w:rPr>
        <w:tab/>
      </w:r>
      <w:r>
        <w:rPr>
          <w:noProof/>
        </w:rPr>
        <w:fldChar w:fldCharType="begin"/>
      </w:r>
      <w:r>
        <w:rPr>
          <w:noProof/>
        </w:rPr>
        <w:instrText xml:space="preserve"> PAGEREF _Toc101439035 \h </w:instrText>
      </w:r>
      <w:r>
        <w:rPr>
          <w:noProof/>
        </w:rPr>
      </w:r>
      <w:r>
        <w:rPr>
          <w:noProof/>
        </w:rPr>
        <w:fldChar w:fldCharType="separate"/>
      </w:r>
      <w:r>
        <w:rPr>
          <w:noProof/>
        </w:rPr>
        <w:t>43</w:t>
      </w:r>
      <w:r>
        <w:rPr>
          <w:noProof/>
        </w:rPr>
        <w:fldChar w:fldCharType="end"/>
      </w:r>
    </w:p>
    <w:p w14:paraId="1F76C51C" w14:textId="1C272C5E" w:rsidR="00AB3A98" w:rsidRDefault="00AB3A98">
      <w:pPr>
        <w:pStyle w:val="TOC1"/>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Concessional Spirits</w:t>
      </w:r>
      <w:r>
        <w:rPr>
          <w:noProof/>
        </w:rPr>
        <w:tab/>
      </w:r>
      <w:r>
        <w:rPr>
          <w:noProof/>
        </w:rPr>
        <w:fldChar w:fldCharType="begin"/>
      </w:r>
      <w:r>
        <w:rPr>
          <w:noProof/>
        </w:rPr>
        <w:instrText xml:space="preserve"> PAGEREF _Toc101439036 \h </w:instrText>
      </w:r>
      <w:r>
        <w:rPr>
          <w:noProof/>
        </w:rPr>
      </w:r>
      <w:r>
        <w:rPr>
          <w:noProof/>
        </w:rPr>
        <w:fldChar w:fldCharType="separate"/>
      </w:r>
      <w:r>
        <w:rPr>
          <w:noProof/>
        </w:rPr>
        <w:t>43</w:t>
      </w:r>
      <w:r>
        <w:rPr>
          <w:noProof/>
        </w:rPr>
        <w:fldChar w:fldCharType="end"/>
      </w:r>
    </w:p>
    <w:p w14:paraId="2A748D6D" w14:textId="2E666A0B" w:rsidR="00AB3A98" w:rsidRDefault="00AB3A98">
      <w:pPr>
        <w:pStyle w:val="TOC1"/>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Health Surveillance</w:t>
      </w:r>
      <w:r>
        <w:rPr>
          <w:noProof/>
        </w:rPr>
        <w:tab/>
      </w:r>
      <w:r>
        <w:rPr>
          <w:noProof/>
        </w:rPr>
        <w:fldChar w:fldCharType="begin"/>
      </w:r>
      <w:r>
        <w:rPr>
          <w:noProof/>
        </w:rPr>
        <w:instrText xml:space="preserve"> PAGEREF _Toc101439037 \h </w:instrText>
      </w:r>
      <w:r>
        <w:rPr>
          <w:noProof/>
        </w:rPr>
      </w:r>
      <w:r>
        <w:rPr>
          <w:noProof/>
        </w:rPr>
        <w:fldChar w:fldCharType="separate"/>
      </w:r>
      <w:r>
        <w:rPr>
          <w:noProof/>
        </w:rPr>
        <w:t>44</w:t>
      </w:r>
      <w:r>
        <w:rPr>
          <w:noProof/>
        </w:rPr>
        <w:fldChar w:fldCharType="end"/>
      </w:r>
    </w:p>
    <w:p w14:paraId="546268A9" w14:textId="45C96380" w:rsidR="00AB3A98" w:rsidRDefault="00AB3A98">
      <w:pPr>
        <w:pStyle w:val="TOC1"/>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Scheduled Carcinogens</w:t>
      </w:r>
      <w:r>
        <w:rPr>
          <w:noProof/>
        </w:rPr>
        <w:tab/>
      </w:r>
      <w:r>
        <w:rPr>
          <w:noProof/>
        </w:rPr>
        <w:fldChar w:fldCharType="begin"/>
      </w:r>
      <w:r>
        <w:rPr>
          <w:noProof/>
        </w:rPr>
        <w:instrText xml:space="preserve"> PAGEREF _Toc101439038 \h </w:instrText>
      </w:r>
      <w:r>
        <w:rPr>
          <w:noProof/>
        </w:rPr>
      </w:r>
      <w:r>
        <w:rPr>
          <w:noProof/>
        </w:rPr>
        <w:fldChar w:fldCharType="separate"/>
      </w:r>
      <w:r>
        <w:rPr>
          <w:noProof/>
        </w:rPr>
        <w:t>44</w:t>
      </w:r>
      <w:r>
        <w:rPr>
          <w:noProof/>
        </w:rPr>
        <w:fldChar w:fldCharType="end"/>
      </w:r>
    </w:p>
    <w:p w14:paraId="5E5601F8" w14:textId="10EDBC30" w:rsidR="00AB3A98" w:rsidRDefault="00AB3A98">
      <w:pPr>
        <w:pStyle w:val="TOC2"/>
        <w:rPr>
          <w:rFonts w:asciiTheme="minorHAnsi" w:eastAsiaTheme="minorEastAsia" w:hAnsiTheme="minorHAnsi" w:cstheme="minorBidi"/>
          <w:noProof/>
          <w:sz w:val="22"/>
          <w:szCs w:val="22"/>
        </w:rPr>
      </w:pPr>
      <w:r>
        <w:rPr>
          <w:noProof/>
        </w:rPr>
        <w:t>23.1   Chemical Carcinogens</w:t>
      </w:r>
      <w:r>
        <w:rPr>
          <w:noProof/>
        </w:rPr>
        <w:tab/>
      </w:r>
      <w:r>
        <w:rPr>
          <w:noProof/>
        </w:rPr>
        <w:fldChar w:fldCharType="begin"/>
      </w:r>
      <w:r>
        <w:rPr>
          <w:noProof/>
        </w:rPr>
        <w:instrText xml:space="preserve"> PAGEREF _Toc101439039 \h </w:instrText>
      </w:r>
      <w:r>
        <w:rPr>
          <w:noProof/>
        </w:rPr>
      </w:r>
      <w:r>
        <w:rPr>
          <w:noProof/>
        </w:rPr>
        <w:fldChar w:fldCharType="separate"/>
      </w:r>
      <w:r>
        <w:rPr>
          <w:noProof/>
        </w:rPr>
        <w:t>44</w:t>
      </w:r>
      <w:r>
        <w:rPr>
          <w:noProof/>
        </w:rPr>
        <w:fldChar w:fldCharType="end"/>
      </w:r>
    </w:p>
    <w:p w14:paraId="24967A7C" w14:textId="3BF0F68F" w:rsidR="00AB3A98" w:rsidRDefault="00AB3A98">
      <w:pPr>
        <w:pStyle w:val="TOC2"/>
        <w:rPr>
          <w:rFonts w:asciiTheme="minorHAnsi" w:eastAsiaTheme="minorEastAsia" w:hAnsiTheme="minorHAnsi" w:cstheme="minorBidi"/>
          <w:noProof/>
          <w:sz w:val="22"/>
          <w:szCs w:val="22"/>
        </w:rPr>
      </w:pPr>
      <w:r>
        <w:rPr>
          <w:noProof/>
        </w:rPr>
        <w:t>23.2   Carcinogenic substances only to be used for bona fide research</w:t>
      </w:r>
      <w:r>
        <w:rPr>
          <w:noProof/>
        </w:rPr>
        <w:tab/>
      </w:r>
      <w:r>
        <w:rPr>
          <w:noProof/>
        </w:rPr>
        <w:fldChar w:fldCharType="begin"/>
      </w:r>
      <w:r>
        <w:rPr>
          <w:noProof/>
        </w:rPr>
        <w:instrText xml:space="preserve"> PAGEREF _Toc101439040 \h </w:instrText>
      </w:r>
      <w:r>
        <w:rPr>
          <w:noProof/>
        </w:rPr>
      </w:r>
      <w:r>
        <w:rPr>
          <w:noProof/>
        </w:rPr>
        <w:fldChar w:fldCharType="separate"/>
      </w:r>
      <w:r>
        <w:rPr>
          <w:noProof/>
        </w:rPr>
        <w:t>44</w:t>
      </w:r>
      <w:r>
        <w:rPr>
          <w:noProof/>
        </w:rPr>
        <w:fldChar w:fldCharType="end"/>
      </w:r>
    </w:p>
    <w:p w14:paraId="3BE5B666" w14:textId="0E5C08FC" w:rsidR="00AB3A98" w:rsidRDefault="00AB3A98">
      <w:pPr>
        <w:pStyle w:val="TOC2"/>
        <w:rPr>
          <w:rFonts w:asciiTheme="minorHAnsi" w:eastAsiaTheme="minorEastAsia" w:hAnsiTheme="minorHAnsi" w:cstheme="minorBidi"/>
          <w:noProof/>
          <w:sz w:val="22"/>
          <w:szCs w:val="22"/>
        </w:rPr>
      </w:pPr>
      <w:r>
        <w:rPr>
          <w:noProof/>
        </w:rPr>
        <w:t>23.3   Carcinogenic substances only to be used for purposes approved by the Commissioner</w:t>
      </w:r>
      <w:r>
        <w:rPr>
          <w:noProof/>
        </w:rPr>
        <w:tab/>
      </w:r>
      <w:r>
        <w:rPr>
          <w:noProof/>
        </w:rPr>
        <w:fldChar w:fldCharType="begin"/>
      </w:r>
      <w:r>
        <w:rPr>
          <w:noProof/>
        </w:rPr>
        <w:instrText xml:space="preserve"> PAGEREF _Toc101439041 \h </w:instrText>
      </w:r>
      <w:r>
        <w:rPr>
          <w:noProof/>
        </w:rPr>
      </w:r>
      <w:r>
        <w:rPr>
          <w:noProof/>
        </w:rPr>
        <w:fldChar w:fldCharType="separate"/>
      </w:r>
      <w:r>
        <w:rPr>
          <w:noProof/>
        </w:rPr>
        <w:t>44</w:t>
      </w:r>
      <w:r>
        <w:rPr>
          <w:noProof/>
        </w:rPr>
        <w:fldChar w:fldCharType="end"/>
      </w:r>
    </w:p>
    <w:p w14:paraId="7693283D" w14:textId="6E6E9A1E" w:rsidR="00AB3A98" w:rsidRDefault="00AB3A98">
      <w:pPr>
        <w:pStyle w:val="TOC2"/>
        <w:rPr>
          <w:rFonts w:asciiTheme="minorHAnsi" w:eastAsiaTheme="minorEastAsia" w:hAnsiTheme="minorHAnsi" w:cstheme="minorBidi"/>
          <w:noProof/>
          <w:sz w:val="22"/>
          <w:szCs w:val="22"/>
        </w:rPr>
      </w:pPr>
      <w:r>
        <w:rPr>
          <w:noProof/>
        </w:rPr>
        <w:t>23.4   Carcinogenic substances – Asbestos</w:t>
      </w:r>
      <w:r>
        <w:rPr>
          <w:noProof/>
        </w:rPr>
        <w:tab/>
      </w:r>
      <w:r>
        <w:rPr>
          <w:noProof/>
        </w:rPr>
        <w:fldChar w:fldCharType="begin"/>
      </w:r>
      <w:r>
        <w:rPr>
          <w:noProof/>
        </w:rPr>
        <w:instrText xml:space="preserve"> PAGEREF _Toc101439042 \h </w:instrText>
      </w:r>
      <w:r>
        <w:rPr>
          <w:noProof/>
        </w:rPr>
      </w:r>
      <w:r>
        <w:rPr>
          <w:noProof/>
        </w:rPr>
        <w:fldChar w:fldCharType="separate"/>
      </w:r>
      <w:r>
        <w:rPr>
          <w:noProof/>
        </w:rPr>
        <w:t>45</w:t>
      </w:r>
      <w:r>
        <w:rPr>
          <w:noProof/>
        </w:rPr>
        <w:fldChar w:fldCharType="end"/>
      </w:r>
    </w:p>
    <w:p w14:paraId="067BAD6A" w14:textId="7C80280F" w:rsidR="00AB3A98" w:rsidRDefault="00AB3A98">
      <w:pPr>
        <w:pStyle w:val="TOC2"/>
        <w:rPr>
          <w:rFonts w:asciiTheme="minorHAnsi" w:eastAsiaTheme="minorEastAsia" w:hAnsiTheme="minorHAnsi" w:cstheme="minorBidi"/>
          <w:noProof/>
          <w:sz w:val="22"/>
          <w:szCs w:val="22"/>
        </w:rPr>
      </w:pPr>
      <w:r>
        <w:rPr>
          <w:noProof/>
        </w:rPr>
        <w:t>23.5   Access, Health Surveillance &amp; Records</w:t>
      </w:r>
      <w:r>
        <w:rPr>
          <w:noProof/>
        </w:rPr>
        <w:tab/>
      </w:r>
      <w:r>
        <w:rPr>
          <w:noProof/>
        </w:rPr>
        <w:fldChar w:fldCharType="begin"/>
      </w:r>
      <w:r>
        <w:rPr>
          <w:noProof/>
        </w:rPr>
        <w:instrText xml:space="preserve"> PAGEREF _Toc101439043 \h </w:instrText>
      </w:r>
      <w:r>
        <w:rPr>
          <w:noProof/>
        </w:rPr>
      </w:r>
      <w:r>
        <w:rPr>
          <w:noProof/>
        </w:rPr>
        <w:fldChar w:fldCharType="separate"/>
      </w:r>
      <w:r>
        <w:rPr>
          <w:noProof/>
        </w:rPr>
        <w:t>45</w:t>
      </w:r>
      <w:r>
        <w:rPr>
          <w:noProof/>
        </w:rPr>
        <w:fldChar w:fldCharType="end"/>
      </w:r>
    </w:p>
    <w:p w14:paraId="51B87BB8" w14:textId="68974912" w:rsidR="00AB3A98" w:rsidRDefault="00AB3A98">
      <w:pPr>
        <w:pStyle w:val="TOC1"/>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Agricultural and Veterinary Chemicals</w:t>
      </w:r>
      <w:r>
        <w:rPr>
          <w:noProof/>
        </w:rPr>
        <w:tab/>
      </w:r>
      <w:r>
        <w:rPr>
          <w:noProof/>
        </w:rPr>
        <w:fldChar w:fldCharType="begin"/>
      </w:r>
      <w:r>
        <w:rPr>
          <w:noProof/>
        </w:rPr>
        <w:instrText xml:space="preserve"> PAGEREF _Toc101439044 \h </w:instrText>
      </w:r>
      <w:r>
        <w:rPr>
          <w:noProof/>
        </w:rPr>
      </w:r>
      <w:r>
        <w:rPr>
          <w:noProof/>
        </w:rPr>
        <w:fldChar w:fldCharType="separate"/>
      </w:r>
      <w:r>
        <w:rPr>
          <w:noProof/>
        </w:rPr>
        <w:t>46</w:t>
      </w:r>
      <w:r>
        <w:rPr>
          <w:noProof/>
        </w:rPr>
        <w:fldChar w:fldCharType="end"/>
      </w:r>
    </w:p>
    <w:p w14:paraId="2D6F353C" w14:textId="4EBF1E1B" w:rsidR="00AB3A98" w:rsidRDefault="00AB3A98">
      <w:pPr>
        <w:pStyle w:val="TOC2"/>
        <w:rPr>
          <w:rFonts w:asciiTheme="minorHAnsi" w:eastAsiaTheme="minorEastAsia" w:hAnsiTheme="minorHAnsi" w:cstheme="minorBidi"/>
          <w:noProof/>
          <w:sz w:val="22"/>
          <w:szCs w:val="22"/>
        </w:rPr>
      </w:pPr>
      <w:r>
        <w:rPr>
          <w:noProof/>
        </w:rPr>
        <w:t>24.1   Introduction</w:t>
      </w:r>
      <w:r>
        <w:rPr>
          <w:noProof/>
        </w:rPr>
        <w:tab/>
      </w:r>
      <w:r>
        <w:rPr>
          <w:noProof/>
        </w:rPr>
        <w:fldChar w:fldCharType="begin"/>
      </w:r>
      <w:r>
        <w:rPr>
          <w:noProof/>
        </w:rPr>
        <w:instrText xml:space="preserve"> PAGEREF _Toc101439045 \h </w:instrText>
      </w:r>
      <w:r>
        <w:rPr>
          <w:noProof/>
        </w:rPr>
      </w:r>
      <w:r>
        <w:rPr>
          <w:noProof/>
        </w:rPr>
        <w:fldChar w:fldCharType="separate"/>
      </w:r>
      <w:r>
        <w:rPr>
          <w:noProof/>
        </w:rPr>
        <w:t>46</w:t>
      </w:r>
      <w:r>
        <w:rPr>
          <w:noProof/>
        </w:rPr>
        <w:fldChar w:fldCharType="end"/>
      </w:r>
    </w:p>
    <w:p w14:paraId="1E5A0E26" w14:textId="6AEFDE79" w:rsidR="00AB3A98" w:rsidRDefault="00AB3A98">
      <w:pPr>
        <w:pStyle w:val="TOC2"/>
        <w:rPr>
          <w:rFonts w:asciiTheme="minorHAnsi" w:eastAsiaTheme="minorEastAsia" w:hAnsiTheme="minorHAnsi" w:cstheme="minorBidi"/>
          <w:noProof/>
          <w:sz w:val="22"/>
          <w:szCs w:val="22"/>
        </w:rPr>
      </w:pPr>
      <w:r>
        <w:rPr>
          <w:noProof/>
        </w:rPr>
        <w:t>24.2   Purchase</w:t>
      </w:r>
      <w:r>
        <w:rPr>
          <w:noProof/>
        </w:rPr>
        <w:tab/>
      </w:r>
      <w:r>
        <w:rPr>
          <w:noProof/>
        </w:rPr>
        <w:fldChar w:fldCharType="begin"/>
      </w:r>
      <w:r>
        <w:rPr>
          <w:noProof/>
        </w:rPr>
        <w:instrText xml:space="preserve"> PAGEREF _Toc101439046 \h </w:instrText>
      </w:r>
      <w:r>
        <w:rPr>
          <w:noProof/>
        </w:rPr>
      </w:r>
      <w:r>
        <w:rPr>
          <w:noProof/>
        </w:rPr>
        <w:fldChar w:fldCharType="separate"/>
      </w:r>
      <w:r>
        <w:rPr>
          <w:noProof/>
        </w:rPr>
        <w:t>46</w:t>
      </w:r>
      <w:r>
        <w:rPr>
          <w:noProof/>
        </w:rPr>
        <w:fldChar w:fldCharType="end"/>
      </w:r>
    </w:p>
    <w:p w14:paraId="7FDD88FD" w14:textId="18F31435" w:rsidR="00AB3A98" w:rsidRDefault="00AB3A98">
      <w:pPr>
        <w:pStyle w:val="TOC2"/>
        <w:rPr>
          <w:rFonts w:asciiTheme="minorHAnsi" w:eastAsiaTheme="minorEastAsia" w:hAnsiTheme="minorHAnsi" w:cstheme="minorBidi"/>
          <w:noProof/>
          <w:sz w:val="22"/>
          <w:szCs w:val="22"/>
        </w:rPr>
      </w:pPr>
      <w:r>
        <w:rPr>
          <w:noProof/>
        </w:rPr>
        <w:t>24.3   APVMA Research Permits for off label use</w:t>
      </w:r>
      <w:r>
        <w:rPr>
          <w:noProof/>
        </w:rPr>
        <w:tab/>
      </w:r>
      <w:r>
        <w:rPr>
          <w:noProof/>
        </w:rPr>
        <w:fldChar w:fldCharType="begin"/>
      </w:r>
      <w:r>
        <w:rPr>
          <w:noProof/>
        </w:rPr>
        <w:instrText xml:space="preserve"> PAGEREF _Toc101439047 \h </w:instrText>
      </w:r>
      <w:r>
        <w:rPr>
          <w:noProof/>
        </w:rPr>
      </w:r>
      <w:r>
        <w:rPr>
          <w:noProof/>
        </w:rPr>
        <w:fldChar w:fldCharType="separate"/>
      </w:r>
      <w:r>
        <w:rPr>
          <w:noProof/>
        </w:rPr>
        <w:t>46</w:t>
      </w:r>
      <w:r>
        <w:rPr>
          <w:noProof/>
        </w:rPr>
        <w:fldChar w:fldCharType="end"/>
      </w:r>
    </w:p>
    <w:p w14:paraId="70DD5329" w14:textId="2DC0BD14" w:rsidR="00AB3A98" w:rsidRDefault="00AB3A98">
      <w:pPr>
        <w:pStyle w:val="TOC2"/>
        <w:rPr>
          <w:rFonts w:asciiTheme="minorHAnsi" w:eastAsiaTheme="minorEastAsia" w:hAnsiTheme="minorHAnsi" w:cstheme="minorBidi"/>
          <w:noProof/>
          <w:sz w:val="22"/>
          <w:szCs w:val="22"/>
        </w:rPr>
      </w:pPr>
      <w:r>
        <w:rPr>
          <w:noProof/>
        </w:rPr>
        <w:t>24.4   Usage Restrictions for Agricultural or Veterinary purposes.</w:t>
      </w:r>
      <w:r>
        <w:rPr>
          <w:noProof/>
        </w:rPr>
        <w:tab/>
      </w:r>
      <w:r>
        <w:rPr>
          <w:noProof/>
        </w:rPr>
        <w:fldChar w:fldCharType="begin"/>
      </w:r>
      <w:r>
        <w:rPr>
          <w:noProof/>
        </w:rPr>
        <w:instrText xml:space="preserve"> PAGEREF _Toc101439048 \h </w:instrText>
      </w:r>
      <w:r>
        <w:rPr>
          <w:noProof/>
        </w:rPr>
      </w:r>
      <w:r>
        <w:rPr>
          <w:noProof/>
        </w:rPr>
        <w:fldChar w:fldCharType="separate"/>
      </w:r>
      <w:r>
        <w:rPr>
          <w:noProof/>
        </w:rPr>
        <w:t>46</w:t>
      </w:r>
      <w:r>
        <w:rPr>
          <w:noProof/>
        </w:rPr>
        <w:fldChar w:fldCharType="end"/>
      </w:r>
    </w:p>
    <w:p w14:paraId="75CC3278" w14:textId="2FF627C9" w:rsidR="00AB3A98" w:rsidRDefault="00AB3A98">
      <w:pPr>
        <w:pStyle w:val="TOC2"/>
        <w:rPr>
          <w:rFonts w:asciiTheme="minorHAnsi" w:eastAsiaTheme="minorEastAsia" w:hAnsiTheme="minorHAnsi" w:cstheme="minorBidi"/>
          <w:noProof/>
          <w:sz w:val="22"/>
          <w:szCs w:val="22"/>
        </w:rPr>
      </w:pPr>
      <w:r>
        <w:rPr>
          <w:noProof/>
        </w:rPr>
        <w:t>24.5   Labelling</w:t>
      </w:r>
      <w:r>
        <w:rPr>
          <w:noProof/>
        </w:rPr>
        <w:tab/>
      </w:r>
      <w:r>
        <w:rPr>
          <w:noProof/>
        </w:rPr>
        <w:fldChar w:fldCharType="begin"/>
      </w:r>
      <w:r>
        <w:rPr>
          <w:noProof/>
        </w:rPr>
        <w:instrText xml:space="preserve"> PAGEREF _Toc101439049 \h </w:instrText>
      </w:r>
      <w:r>
        <w:rPr>
          <w:noProof/>
        </w:rPr>
      </w:r>
      <w:r>
        <w:rPr>
          <w:noProof/>
        </w:rPr>
        <w:fldChar w:fldCharType="separate"/>
      </w:r>
      <w:r>
        <w:rPr>
          <w:noProof/>
        </w:rPr>
        <w:t>47</w:t>
      </w:r>
      <w:r>
        <w:rPr>
          <w:noProof/>
        </w:rPr>
        <w:fldChar w:fldCharType="end"/>
      </w:r>
    </w:p>
    <w:p w14:paraId="35B9190F" w14:textId="555FA371" w:rsidR="00AB3A98" w:rsidRDefault="00AB3A98">
      <w:pPr>
        <w:pStyle w:val="TOC2"/>
        <w:rPr>
          <w:rFonts w:asciiTheme="minorHAnsi" w:eastAsiaTheme="minorEastAsia" w:hAnsiTheme="minorHAnsi" w:cstheme="minorBidi"/>
          <w:noProof/>
          <w:sz w:val="22"/>
          <w:szCs w:val="22"/>
        </w:rPr>
      </w:pPr>
      <w:r>
        <w:rPr>
          <w:noProof/>
        </w:rPr>
        <w:t>24.6   Health Surveillance</w:t>
      </w:r>
      <w:r>
        <w:rPr>
          <w:noProof/>
        </w:rPr>
        <w:tab/>
      </w:r>
      <w:r>
        <w:rPr>
          <w:noProof/>
        </w:rPr>
        <w:fldChar w:fldCharType="begin"/>
      </w:r>
      <w:r>
        <w:rPr>
          <w:noProof/>
        </w:rPr>
        <w:instrText xml:space="preserve"> PAGEREF _Toc101439050 \h </w:instrText>
      </w:r>
      <w:r>
        <w:rPr>
          <w:noProof/>
        </w:rPr>
      </w:r>
      <w:r>
        <w:rPr>
          <w:noProof/>
        </w:rPr>
        <w:fldChar w:fldCharType="separate"/>
      </w:r>
      <w:r>
        <w:rPr>
          <w:noProof/>
        </w:rPr>
        <w:t>47</w:t>
      </w:r>
      <w:r>
        <w:rPr>
          <w:noProof/>
        </w:rPr>
        <w:fldChar w:fldCharType="end"/>
      </w:r>
    </w:p>
    <w:p w14:paraId="19032AD8" w14:textId="28C7C761" w:rsidR="00AB3A98" w:rsidRDefault="00AB3A98">
      <w:pPr>
        <w:pStyle w:val="TOC2"/>
        <w:rPr>
          <w:rFonts w:asciiTheme="minorHAnsi" w:eastAsiaTheme="minorEastAsia" w:hAnsiTheme="minorHAnsi" w:cstheme="minorBidi"/>
          <w:noProof/>
          <w:sz w:val="22"/>
          <w:szCs w:val="22"/>
        </w:rPr>
      </w:pPr>
      <w:r>
        <w:rPr>
          <w:noProof/>
        </w:rPr>
        <w:t>24.7   Legislation</w:t>
      </w:r>
      <w:r>
        <w:rPr>
          <w:noProof/>
        </w:rPr>
        <w:tab/>
      </w:r>
      <w:r>
        <w:rPr>
          <w:noProof/>
        </w:rPr>
        <w:fldChar w:fldCharType="begin"/>
      </w:r>
      <w:r>
        <w:rPr>
          <w:noProof/>
        </w:rPr>
        <w:instrText xml:space="preserve"> PAGEREF _Toc101439051 \h </w:instrText>
      </w:r>
      <w:r>
        <w:rPr>
          <w:noProof/>
        </w:rPr>
      </w:r>
      <w:r>
        <w:rPr>
          <w:noProof/>
        </w:rPr>
        <w:fldChar w:fldCharType="separate"/>
      </w:r>
      <w:r>
        <w:rPr>
          <w:noProof/>
        </w:rPr>
        <w:t>47</w:t>
      </w:r>
      <w:r>
        <w:rPr>
          <w:noProof/>
        </w:rPr>
        <w:fldChar w:fldCharType="end"/>
      </w:r>
    </w:p>
    <w:p w14:paraId="298F6481" w14:textId="1AF607F2" w:rsidR="00AB3A98" w:rsidRDefault="00AB3A98">
      <w:pPr>
        <w:pStyle w:val="TOC1"/>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Illicit Drug Precursors</w:t>
      </w:r>
      <w:r>
        <w:rPr>
          <w:noProof/>
        </w:rPr>
        <w:tab/>
      </w:r>
      <w:r>
        <w:rPr>
          <w:noProof/>
        </w:rPr>
        <w:fldChar w:fldCharType="begin"/>
      </w:r>
      <w:r>
        <w:rPr>
          <w:noProof/>
        </w:rPr>
        <w:instrText xml:space="preserve"> PAGEREF _Toc101439052 \h </w:instrText>
      </w:r>
      <w:r>
        <w:rPr>
          <w:noProof/>
        </w:rPr>
      </w:r>
      <w:r>
        <w:rPr>
          <w:noProof/>
        </w:rPr>
        <w:fldChar w:fldCharType="separate"/>
      </w:r>
      <w:r>
        <w:rPr>
          <w:noProof/>
        </w:rPr>
        <w:t>47</w:t>
      </w:r>
      <w:r>
        <w:rPr>
          <w:noProof/>
        </w:rPr>
        <w:fldChar w:fldCharType="end"/>
      </w:r>
    </w:p>
    <w:p w14:paraId="7D0F8000" w14:textId="7FDD951D" w:rsidR="00AB3A98" w:rsidRDefault="00AB3A98">
      <w:pPr>
        <w:pStyle w:val="TOC2"/>
        <w:rPr>
          <w:rFonts w:asciiTheme="minorHAnsi" w:eastAsiaTheme="minorEastAsia" w:hAnsiTheme="minorHAnsi" w:cstheme="minorBidi"/>
          <w:noProof/>
          <w:sz w:val="22"/>
          <w:szCs w:val="22"/>
        </w:rPr>
      </w:pPr>
      <w:r>
        <w:rPr>
          <w:noProof/>
        </w:rPr>
        <w:t>25.1   Introduction</w:t>
      </w:r>
      <w:r>
        <w:rPr>
          <w:noProof/>
        </w:rPr>
        <w:tab/>
      </w:r>
      <w:r>
        <w:rPr>
          <w:noProof/>
        </w:rPr>
        <w:fldChar w:fldCharType="begin"/>
      </w:r>
      <w:r>
        <w:rPr>
          <w:noProof/>
        </w:rPr>
        <w:instrText xml:space="preserve"> PAGEREF _Toc101439053 \h </w:instrText>
      </w:r>
      <w:r>
        <w:rPr>
          <w:noProof/>
        </w:rPr>
      </w:r>
      <w:r>
        <w:rPr>
          <w:noProof/>
        </w:rPr>
        <w:fldChar w:fldCharType="separate"/>
      </w:r>
      <w:r>
        <w:rPr>
          <w:noProof/>
        </w:rPr>
        <w:t>47</w:t>
      </w:r>
      <w:r>
        <w:rPr>
          <w:noProof/>
        </w:rPr>
        <w:fldChar w:fldCharType="end"/>
      </w:r>
    </w:p>
    <w:p w14:paraId="56AE89B8" w14:textId="7CC0E0A0" w:rsidR="00AB3A98" w:rsidRDefault="00AB3A98">
      <w:pPr>
        <w:pStyle w:val="TOC2"/>
        <w:rPr>
          <w:rFonts w:asciiTheme="minorHAnsi" w:eastAsiaTheme="minorEastAsia" w:hAnsiTheme="minorHAnsi" w:cstheme="minorBidi"/>
          <w:noProof/>
          <w:sz w:val="22"/>
          <w:szCs w:val="22"/>
        </w:rPr>
      </w:pPr>
      <w:r>
        <w:rPr>
          <w:noProof/>
        </w:rPr>
        <w:t>25.2   Category 1 Items and purchase controls</w:t>
      </w:r>
      <w:r>
        <w:rPr>
          <w:noProof/>
        </w:rPr>
        <w:tab/>
      </w:r>
      <w:r>
        <w:rPr>
          <w:noProof/>
        </w:rPr>
        <w:fldChar w:fldCharType="begin"/>
      </w:r>
      <w:r>
        <w:rPr>
          <w:noProof/>
        </w:rPr>
        <w:instrText xml:space="preserve"> PAGEREF _Toc101439054 \h </w:instrText>
      </w:r>
      <w:r>
        <w:rPr>
          <w:noProof/>
        </w:rPr>
      </w:r>
      <w:r>
        <w:rPr>
          <w:noProof/>
        </w:rPr>
        <w:fldChar w:fldCharType="separate"/>
      </w:r>
      <w:r>
        <w:rPr>
          <w:noProof/>
        </w:rPr>
        <w:t>48</w:t>
      </w:r>
      <w:r>
        <w:rPr>
          <w:noProof/>
        </w:rPr>
        <w:fldChar w:fldCharType="end"/>
      </w:r>
    </w:p>
    <w:p w14:paraId="00E62C4B" w14:textId="72C32B1D" w:rsidR="00AB3A98" w:rsidRDefault="00AB3A98">
      <w:pPr>
        <w:pStyle w:val="TOC2"/>
        <w:rPr>
          <w:rFonts w:asciiTheme="minorHAnsi" w:eastAsiaTheme="minorEastAsia" w:hAnsiTheme="minorHAnsi" w:cstheme="minorBidi"/>
          <w:noProof/>
          <w:sz w:val="22"/>
          <w:szCs w:val="22"/>
        </w:rPr>
      </w:pPr>
      <w:r>
        <w:rPr>
          <w:noProof/>
        </w:rPr>
        <w:t>25.3   Category 2 Items and purchase controls</w:t>
      </w:r>
      <w:r>
        <w:rPr>
          <w:noProof/>
        </w:rPr>
        <w:tab/>
      </w:r>
      <w:r>
        <w:rPr>
          <w:noProof/>
        </w:rPr>
        <w:fldChar w:fldCharType="begin"/>
      </w:r>
      <w:r>
        <w:rPr>
          <w:noProof/>
        </w:rPr>
        <w:instrText xml:space="preserve"> PAGEREF _Toc101439055 \h </w:instrText>
      </w:r>
      <w:r>
        <w:rPr>
          <w:noProof/>
        </w:rPr>
      </w:r>
      <w:r>
        <w:rPr>
          <w:noProof/>
        </w:rPr>
        <w:fldChar w:fldCharType="separate"/>
      </w:r>
      <w:r>
        <w:rPr>
          <w:noProof/>
        </w:rPr>
        <w:t>50</w:t>
      </w:r>
      <w:r>
        <w:rPr>
          <w:noProof/>
        </w:rPr>
        <w:fldChar w:fldCharType="end"/>
      </w:r>
    </w:p>
    <w:p w14:paraId="193DE18F" w14:textId="642D58A0" w:rsidR="00AB3A98" w:rsidRDefault="00AB3A98">
      <w:pPr>
        <w:pStyle w:val="TOC2"/>
        <w:rPr>
          <w:rFonts w:asciiTheme="minorHAnsi" w:eastAsiaTheme="minorEastAsia" w:hAnsiTheme="minorHAnsi" w:cstheme="minorBidi"/>
          <w:noProof/>
          <w:sz w:val="22"/>
          <w:szCs w:val="22"/>
        </w:rPr>
      </w:pPr>
      <w:r>
        <w:rPr>
          <w:noProof/>
        </w:rPr>
        <w:t>25.4   Legislation</w:t>
      </w:r>
      <w:r>
        <w:rPr>
          <w:noProof/>
        </w:rPr>
        <w:tab/>
      </w:r>
      <w:r>
        <w:rPr>
          <w:noProof/>
        </w:rPr>
        <w:fldChar w:fldCharType="begin"/>
      </w:r>
      <w:r>
        <w:rPr>
          <w:noProof/>
        </w:rPr>
        <w:instrText xml:space="preserve"> PAGEREF _Toc101439056 \h </w:instrText>
      </w:r>
      <w:r>
        <w:rPr>
          <w:noProof/>
        </w:rPr>
      </w:r>
      <w:r>
        <w:rPr>
          <w:noProof/>
        </w:rPr>
        <w:fldChar w:fldCharType="separate"/>
      </w:r>
      <w:r>
        <w:rPr>
          <w:noProof/>
        </w:rPr>
        <w:t>52</w:t>
      </w:r>
      <w:r>
        <w:rPr>
          <w:noProof/>
        </w:rPr>
        <w:fldChar w:fldCharType="end"/>
      </w:r>
    </w:p>
    <w:p w14:paraId="7602FA26" w14:textId="29A0AD4B" w:rsidR="00AB3A98" w:rsidRDefault="00AB3A98">
      <w:pPr>
        <w:pStyle w:val="TOC1"/>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Radioactive Chemicals</w:t>
      </w:r>
      <w:r>
        <w:rPr>
          <w:noProof/>
        </w:rPr>
        <w:tab/>
      </w:r>
      <w:r>
        <w:rPr>
          <w:noProof/>
        </w:rPr>
        <w:fldChar w:fldCharType="begin"/>
      </w:r>
      <w:r>
        <w:rPr>
          <w:noProof/>
        </w:rPr>
        <w:instrText xml:space="preserve"> PAGEREF _Toc101439057 \h </w:instrText>
      </w:r>
      <w:r>
        <w:rPr>
          <w:noProof/>
        </w:rPr>
      </w:r>
      <w:r>
        <w:rPr>
          <w:noProof/>
        </w:rPr>
        <w:fldChar w:fldCharType="separate"/>
      </w:r>
      <w:r>
        <w:rPr>
          <w:noProof/>
        </w:rPr>
        <w:t>52</w:t>
      </w:r>
      <w:r>
        <w:rPr>
          <w:noProof/>
        </w:rPr>
        <w:fldChar w:fldCharType="end"/>
      </w:r>
    </w:p>
    <w:p w14:paraId="6B4368EB" w14:textId="39E93170" w:rsidR="00AB3A98" w:rsidRDefault="00AB3A98">
      <w:pPr>
        <w:pStyle w:val="TOC2"/>
        <w:rPr>
          <w:rFonts w:asciiTheme="minorHAnsi" w:eastAsiaTheme="minorEastAsia" w:hAnsiTheme="minorHAnsi" w:cstheme="minorBidi"/>
          <w:noProof/>
          <w:sz w:val="22"/>
          <w:szCs w:val="22"/>
        </w:rPr>
      </w:pPr>
      <w:r>
        <w:rPr>
          <w:noProof/>
        </w:rPr>
        <w:t>26.1   Scope</w:t>
      </w:r>
      <w:r>
        <w:rPr>
          <w:noProof/>
        </w:rPr>
        <w:tab/>
      </w:r>
      <w:r>
        <w:rPr>
          <w:noProof/>
        </w:rPr>
        <w:fldChar w:fldCharType="begin"/>
      </w:r>
      <w:r>
        <w:rPr>
          <w:noProof/>
        </w:rPr>
        <w:instrText xml:space="preserve"> PAGEREF _Toc101439058 \h </w:instrText>
      </w:r>
      <w:r>
        <w:rPr>
          <w:noProof/>
        </w:rPr>
      </w:r>
      <w:r>
        <w:rPr>
          <w:noProof/>
        </w:rPr>
        <w:fldChar w:fldCharType="separate"/>
      </w:r>
      <w:r>
        <w:rPr>
          <w:noProof/>
        </w:rPr>
        <w:t>52</w:t>
      </w:r>
      <w:r>
        <w:rPr>
          <w:noProof/>
        </w:rPr>
        <w:fldChar w:fldCharType="end"/>
      </w:r>
    </w:p>
    <w:p w14:paraId="141CF131" w14:textId="2BBCB64D" w:rsidR="00AB3A98" w:rsidRDefault="00AB3A98">
      <w:pPr>
        <w:pStyle w:val="TOC2"/>
        <w:rPr>
          <w:rFonts w:asciiTheme="minorHAnsi" w:eastAsiaTheme="minorEastAsia" w:hAnsiTheme="minorHAnsi" w:cstheme="minorBidi"/>
          <w:noProof/>
          <w:sz w:val="22"/>
          <w:szCs w:val="22"/>
        </w:rPr>
      </w:pPr>
      <w:r>
        <w:rPr>
          <w:noProof/>
        </w:rPr>
        <w:t>26.2   Introduction</w:t>
      </w:r>
      <w:r>
        <w:rPr>
          <w:noProof/>
        </w:rPr>
        <w:tab/>
      </w:r>
      <w:r>
        <w:rPr>
          <w:noProof/>
        </w:rPr>
        <w:fldChar w:fldCharType="begin"/>
      </w:r>
      <w:r>
        <w:rPr>
          <w:noProof/>
        </w:rPr>
        <w:instrText xml:space="preserve"> PAGEREF _Toc101439059 \h </w:instrText>
      </w:r>
      <w:r>
        <w:rPr>
          <w:noProof/>
        </w:rPr>
      </w:r>
      <w:r>
        <w:rPr>
          <w:noProof/>
        </w:rPr>
        <w:fldChar w:fldCharType="separate"/>
      </w:r>
      <w:r>
        <w:rPr>
          <w:noProof/>
        </w:rPr>
        <w:t>52</w:t>
      </w:r>
      <w:r>
        <w:rPr>
          <w:noProof/>
        </w:rPr>
        <w:fldChar w:fldCharType="end"/>
      </w:r>
    </w:p>
    <w:p w14:paraId="355D94FB" w14:textId="20331F54" w:rsidR="00AB3A98" w:rsidRDefault="00AB3A98">
      <w:pPr>
        <w:pStyle w:val="TOC2"/>
        <w:rPr>
          <w:rFonts w:asciiTheme="minorHAnsi" w:eastAsiaTheme="minorEastAsia" w:hAnsiTheme="minorHAnsi" w:cstheme="minorBidi"/>
          <w:noProof/>
          <w:sz w:val="22"/>
          <w:szCs w:val="22"/>
        </w:rPr>
      </w:pPr>
      <w:r>
        <w:rPr>
          <w:noProof/>
        </w:rPr>
        <w:t>26.3   Legislation</w:t>
      </w:r>
      <w:r>
        <w:rPr>
          <w:noProof/>
        </w:rPr>
        <w:tab/>
      </w:r>
      <w:r>
        <w:rPr>
          <w:noProof/>
        </w:rPr>
        <w:fldChar w:fldCharType="begin"/>
      </w:r>
      <w:r>
        <w:rPr>
          <w:noProof/>
        </w:rPr>
        <w:instrText xml:space="preserve"> PAGEREF _Toc101439060 \h </w:instrText>
      </w:r>
      <w:r>
        <w:rPr>
          <w:noProof/>
        </w:rPr>
      </w:r>
      <w:r>
        <w:rPr>
          <w:noProof/>
        </w:rPr>
        <w:fldChar w:fldCharType="separate"/>
      </w:r>
      <w:r>
        <w:rPr>
          <w:noProof/>
        </w:rPr>
        <w:t>52</w:t>
      </w:r>
      <w:r>
        <w:rPr>
          <w:noProof/>
        </w:rPr>
        <w:fldChar w:fldCharType="end"/>
      </w:r>
    </w:p>
    <w:p w14:paraId="62293327" w14:textId="773C6B18" w:rsidR="00AB3A98" w:rsidRDefault="00AB3A98">
      <w:pPr>
        <w:pStyle w:val="TOC2"/>
        <w:rPr>
          <w:rFonts w:asciiTheme="minorHAnsi" w:eastAsiaTheme="minorEastAsia" w:hAnsiTheme="minorHAnsi" w:cstheme="minorBidi"/>
          <w:noProof/>
          <w:sz w:val="22"/>
          <w:szCs w:val="22"/>
        </w:rPr>
      </w:pPr>
      <w:r>
        <w:rPr>
          <w:noProof/>
        </w:rPr>
        <w:t>26.4   Registration</w:t>
      </w:r>
      <w:r>
        <w:rPr>
          <w:noProof/>
        </w:rPr>
        <w:tab/>
      </w:r>
      <w:r>
        <w:rPr>
          <w:noProof/>
        </w:rPr>
        <w:fldChar w:fldCharType="begin"/>
      </w:r>
      <w:r>
        <w:rPr>
          <w:noProof/>
        </w:rPr>
        <w:instrText xml:space="preserve"> PAGEREF _Toc101439061 \h </w:instrText>
      </w:r>
      <w:r>
        <w:rPr>
          <w:noProof/>
        </w:rPr>
      </w:r>
      <w:r>
        <w:rPr>
          <w:noProof/>
        </w:rPr>
        <w:fldChar w:fldCharType="separate"/>
      </w:r>
      <w:r>
        <w:rPr>
          <w:noProof/>
        </w:rPr>
        <w:t>53</w:t>
      </w:r>
      <w:r>
        <w:rPr>
          <w:noProof/>
        </w:rPr>
        <w:fldChar w:fldCharType="end"/>
      </w:r>
    </w:p>
    <w:p w14:paraId="619C546E" w14:textId="619C8B48" w:rsidR="00AB3A98" w:rsidRDefault="00AB3A98">
      <w:pPr>
        <w:pStyle w:val="TOC2"/>
        <w:rPr>
          <w:rFonts w:asciiTheme="minorHAnsi" w:eastAsiaTheme="minorEastAsia" w:hAnsiTheme="minorHAnsi" w:cstheme="minorBidi"/>
          <w:noProof/>
          <w:sz w:val="22"/>
          <w:szCs w:val="22"/>
        </w:rPr>
      </w:pPr>
      <w:r>
        <w:rPr>
          <w:noProof/>
        </w:rPr>
        <w:t>26.5   Licensing</w:t>
      </w:r>
      <w:r>
        <w:rPr>
          <w:noProof/>
        </w:rPr>
        <w:tab/>
      </w:r>
      <w:r>
        <w:rPr>
          <w:noProof/>
        </w:rPr>
        <w:fldChar w:fldCharType="begin"/>
      </w:r>
      <w:r>
        <w:rPr>
          <w:noProof/>
        </w:rPr>
        <w:instrText xml:space="preserve"> PAGEREF _Toc101439062 \h </w:instrText>
      </w:r>
      <w:r>
        <w:rPr>
          <w:noProof/>
        </w:rPr>
      </w:r>
      <w:r>
        <w:rPr>
          <w:noProof/>
        </w:rPr>
        <w:fldChar w:fldCharType="separate"/>
      </w:r>
      <w:r>
        <w:rPr>
          <w:noProof/>
        </w:rPr>
        <w:t>53</w:t>
      </w:r>
      <w:r>
        <w:rPr>
          <w:noProof/>
        </w:rPr>
        <w:fldChar w:fldCharType="end"/>
      </w:r>
    </w:p>
    <w:p w14:paraId="455FE411" w14:textId="4E943C18" w:rsidR="00AB3A98" w:rsidRDefault="00AB3A98">
      <w:pPr>
        <w:pStyle w:val="TOC2"/>
        <w:rPr>
          <w:rFonts w:asciiTheme="minorHAnsi" w:eastAsiaTheme="minorEastAsia" w:hAnsiTheme="minorHAnsi" w:cstheme="minorBidi"/>
          <w:noProof/>
          <w:sz w:val="22"/>
          <w:szCs w:val="22"/>
        </w:rPr>
      </w:pPr>
      <w:r>
        <w:rPr>
          <w:noProof/>
        </w:rPr>
        <w:t>26.6   Responsibilities</w:t>
      </w:r>
      <w:r>
        <w:rPr>
          <w:noProof/>
        </w:rPr>
        <w:tab/>
      </w:r>
      <w:r>
        <w:rPr>
          <w:noProof/>
        </w:rPr>
        <w:fldChar w:fldCharType="begin"/>
      </w:r>
      <w:r>
        <w:rPr>
          <w:noProof/>
        </w:rPr>
        <w:instrText xml:space="preserve"> PAGEREF _Toc101439063 \h </w:instrText>
      </w:r>
      <w:r>
        <w:rPr>
          <w:noProof/>
        </w:rPr>
      </w:r>
      <w:r>
        <w:rPr>
          <w:noProof/>
        </w:rPr>
        <w:fldChar w:fldCharType="separate"/>
      </w:r>
      <w:r>
        <w:rPr>
          <w:noProof/>
        </w:rPr>
        <w:t>53</w:t>
      </w:r>
      <w:r>
        <w:rPr>
          <w:noProof/>
        </w:rPr>
        <w:fldChar w:fldCharType="end"/>
      </w:r>
    </w:p>
    <w:p w14:paraId="0ABD2D6E" w14:textId="285B131B" w:rsidR="00AB3A98" w:rsidRDefault="00AB3A98">
      <w:pPr>
        <w:pStyle w:val="TOC2"/>
        <w:rPr>
          <w:rFonts w:asciiTheme="minorHAnsi" w:eastAsiaTheme="minorEastAsia" w:hAnsiTheme="minorHAnsi" w:cstheme="minorBidi"/>
          <w:noProof/>
          <w:sz w:val="22"/>
          <w:szCs w:val="22"/>
        </w:rPr>
      </w:pPr>
      <w:r>
        <w:rPr>
          <w:noProof/>
        </w:rPr>
        <w:t>26.7   Radioactive Substances Project Approval</w:t>
      </w:r>
      <w:r>
        <w:rPr>
          <w:noProof/>
        </w:rPr>
        <w:tab/>
      </w:r>
      <w:r>
        <w:rPr>
          <w:noProof/>
        </w:rPr>
        <w:fldChar w:fldCharType="begin"/>
      </w:r>
      <w:r>
        <w:rPr>
          <w:noProof/>
        </w:rPr>
        <w:instrText xml:space="preserve"> PAGEREF _Toc101439064 \h </w:instrText>
      </w:r>
      <w:r>
        <w:rPr>
          <w:noProof/>
        </w:rPr>
      </w:r>
      <w:r>
        <w:rPr>
          <w:noProof/>
        </w:rPr>
        <w:fldChar w:fldCharType="separate"/>
      </w:r>
      <w:r>
        <w:rPr>
          <w:noProof/>
        </w:rPr>
        <w:t>53</w:t>
      </w:r>
      <w:r>
        <w:rPr>
          <w:noProof/>
        </w:rPr>
        <w:fldChar w:fldCharType="end"/>
      </w:r>
    </w:p>
    <w:p w14:paraId="168492DB" w14:textId="5259D4EB" w:rsidR="00AB3A98" w:rsidRDefault="00AB3A98">
      <w:pPr>
        <w:pStyle w:val="TOC2"/>
        <w:rPr>
          <w:rFonts w:asciiTheme="minorHAnsi" w:eastAsiaTheme="minorEastAsia" w:hAnsiTheme="minorHAnsi" w:cstheme="minorBidi"/>
          <w:noProof/>
          <w:sz w:val="22"/>
          <w:szCs w:val="22"/>
        </w:rPr>
      </w:pPr>
      <w:r>
        <w:rPr>
          <w:noProof/>
        </w:rPr>
        <w:lastRenderedPageBreak/>
        <w:t>26.8   Training</w:t>
      </w:r>
      <w:r>
        <w:rPr>
          <w:noProof/>
        </w:rPr>
        <w:tab/>
      </w:r>
      <w:r>
        <w:rPr>
          <w:noProof/>
        </w:rPr>
        <w:fldChar w:fldCharType="begin"/>
      </w:r>
      <w:r>
        <w:rPr>
          <w:noProof/>
        </w:rPr>
        <w:instrText xml:space="preserve"> PAGEREF _Toc101439065 \h </w:instrText>
      </w:r>
      <w:r>
        <w:rPr>
          <w:noProof/>
        </w:rPr>
      </w:r>
      <w:r>
        <w:rPr>
          <w:noProof/>
        </w:rPr>
        <w:fldChar w:fldCharType="separate"/>
      </w:r>
      <w:r>
        <w:rPr>
          <w:noProof/>
        </w:rPr>
        <w:t>53</w:t>
      </w:r>
      <w:r>
        <w:rPr>
          <w:noProof/>
        </w:rPr>
        <w:fldChar w:fldCharType="end"/>
      </w:r>
    </w:p>
    <w:p w14:paraId="77029061" w14:textId="5CF787D1" w:rsidR="00AB3A98" w:rsidRDefault="00AB3A98">
      <w:pPr>
        <w:pStyle w:val="TOC2"/>
        <w:rPr>
          <w:rFonts w:asciiTheme="minorHAnsi" w:eastAsiaTheme="minorEastAsia" w:hAnsiTheme="minorHAnsi" w:cstheme="minorBidi"/>
          <w:noProof/>
          <w:sz w:val="22"/>
          <w:szCs w:val="22"/>
        </w:rPr>
      </w:pPr>
      <w:r>
        <w:rPr>
          <w:noProof/>
        </w:rPr>
        <w:t>26.9   Ordering Radioactive Material</w:t>
      </w:r>
      <w:r>
        <w:rPr>
          <w:noProof/>
        </w:rPr>
        <w:tab/>
      </w:r>
      <w:r>
        <w:rPr>
          <w:noProof/>
        </w:rPr>
        <w:fldChar w:fldCharType="begin"/>
      </w:r>
      <w:r>
        <w:rPr>
          <w:noProof/>
        </w:rPr>
        <w:instrText xml:space="preserve"> PAGEREF _Toc101439066 \h </w:instrText>
      </w:r>
      <w:r>
        <w:rPr>
          <w:noProof/>
        </w:rPr>
      </w:r>
      <w:r>
        <w:rPr>
          <w:noProof/>
        </w:rPr>
        <w:fldChar w:fldCharType="separate"/>
      </w:r>
      <w:r>
        <w:rPr>
          <w:noProof/>
        </w:rPr>
        <w:t>53</w:t>
      </w:r>
      <w:r>
        <w:rPr>
          <w:noProof/>
        </w:rPr>
        <w:fldChar w:fldCharType="end"/>
      </w:r>
    </w:p>
    <w:p w14:paraId="3869DB9D" w14:textId="65A93773" w:rsidR="00AB3A98" w:rsidRDefault="00AB3A98">
      <w:pPr>
        <w:pStyle w:val="TOC2"/>
        <w:rPr>
          <w:rFonts w:asciiTheme="minorHAnsi" w:eastAsiaTheme="minorEastAsia" w:hAnsiTheme="minorHAnsi" w:cstheme="minorBidi"/>
          <w:noProof/>
          <w:sz w:val="22"/>
          <w:szCs w:val="22"/>
        </w:rPr>
      </w:pPr>
      <w:r>
        <w:rPr>
          <w:noProof/>
        </w:rPr>
        <w:t>26.10  Records and Labelling</w:t>
      </w:r>
      <w:r>
        <w:rPr>
          <w:noProof/>
        </w:rPr>
        <w:tab/>
      </w:r>
      <w:r>
        <w:rPr>
          <w:noProof/>
        </w:rPr>
        <w:fldChar w:fldCharType="begin"/>
      </w:r>
      <w:r>
        <w:rPr>
          <w:noProof/>
        </w:rPr>
        <w:instrText xml:space="preserve"> PAGEREF _Toc101439067 \h </w:instrText>
      </w:r>
      <w:r>
        <w:rPr>
          <w:noProof/>
        </w:rPr>
      </w:r>
      <w:r>
        <w:rPr>
          <w:noProof/>
        </w:rPr>
        <w:fldChar w:fldCharType="separate"/>
      </w:r>
      <w:r>
        <w:rPr>
          <w:noProof/>
        </w:rPr>
        <w:t>54</w:t>
      </w:r>
      <w:r>
        <w:rPr>
          <w:noProof/>
        </w:rPr>
        <w:fldChar w:fldCharType="end"/>
      </w:r>
    </w:p>
    <w:p w14:paraId="501AF1F9" w14:textId="208A253A" w:rsidR="00AB3A98" w:rsidRDefault="00AB3A98">
      <w:pPr>
        <w:pStyle w:val="TOC2"/>
        <w:rPr>
          <w:rFonts w:asciiTheme="minorHAnsi" w:eastAsiaTheme="minorEastAsia" w:hAnsiTheme="minorHAnsi" w:cstheme="minorBidi"/>
          <w:noProof/>
          <w:sz w:val="22"/>
          <w:szCs w:val="22"/>
        </w:rPr>
      </w:pPr>
      <w:r>
        <w:rPr>
          <w:noProof/>
        </w:rPr>
        <w:t>26.11  Monitoring and Testing</w:t>
      </w:r>
      <w:r>
        <w:rPr>
          <w:noProof/>
        </w:rPr>
        <w:tab/>
      </w:r>
      <w:r>
        <w:rPr>
          <w:noProof/>
        </w:rPr>
        <w:fldChar w:fldCharType="begin"/>
      </w:r>
      <w:r>
        <w:rPr>
          <w:noProof/>
        </w:rPr>
        <w:instrText xml:space="preserve"> PAGEREF _Toc101439068 \h </w:instrText>
      </w:r>
      <w:r>
        <w:rPr>
          <w:noProof/>
        </w:rPr>
      </w:r>
      <w:r>
        <w:rPr>
          <w:noProof/>
        </w:rPr>
        <w:fldChar w:fldCharType="separate"/>
      </w:r>
      <w:r>
        <w:rPr>
          <w:noProof/>
        </w:rPr>
        <w:t>54</w:t>
      </w:r>
      <w:r>
        <w:rPr>
          <w:noProof/>
        </w:rPr>
        <w:fldChar w:fldCharType="end"/>
      </w:r>
    </w:p>
    <w:p w14:paraId="34C1B26D" w14:textId="13A99E40" w:rsidR="00AB3A98" w:rsidRDefault="00AB3A98">
      <w:pPr>
        <w:pStyle w:val="TOC2"/>
        <w:rPr>
          <w:rFonts w:asciiTheme="minorHAnsi" w:eastAsiaTheme="minorEastAsia" w:hAnsiTheme="minorHAnsi" w:cstheme="minorBidi"/>
          <w:noProof/>
          <w:sz w:val="22"/>
          <w:szCs w:val="22"/>
        </w:rPr>
      </w:pPr>
      <w:r>
        <w:rPr>
          <w:noProof/>
        </w:rPr>
        <w:t>26.12  Waste Disposal</w:t>
      </w:r>
      <w:r>
        <w:rPr>
          <w:noProof/>
        </w:rPr>
        <w:tab/>
      </w:r>
      <w:r>
        <w:rPr>
          <w:noProof/>
        </w:rPr>
        <w:fldChar w:fldCharType="begin"/>
      </w:r>
      <w:r>
        <w:rPr>
          <w:noProof/>
        </w:rPr>
        <w:instrText xml:space="preserve"> PAGEREF _Toc101439069 \h </w:instrText>
      </w:r>
      <w:r>
        <w:rPr>
          <w:noProof/>
        </w:rPr>
      </w:r>
      <w:r>
        <w:rPr>
          <w:noProof/>
        </w:rPr>
        <w:fldChar w:fldCharType="separate"/>
      </w:r>
      <w:r>
        <w:rPr>
          <w:noProof/>
        </w:rPr>
        <w:t>54</w:t>
      </w:r>
      <w:r>
        <w:rPr>
          <w:noProof/>
        </w:rPr>
        <w:fldChar w:fldCharType="end"/>
      </w:r>
    </w:p>
    <w:p w14:paraId="05E6D8B1" w14:textId="08650F91" w:rsidR="00AB3A98" w:rsidRDefault="00AB3A98">
      <w:pPr>
        <w:pStyle w:val="TOC1"/>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Health &amp; Safety Documents &amp; Forms</w:t>
      </w:r>
      <w:r>
        <w:rPr>
          <w:noProof/>
        </w:rPr>
        <w:tab/>
      </w:r>
      <w:r>
        <w:rPr>
          <w:noProof/>
        </w:rPr>
        <w:fldChar w:fldCharType="begin"/>
      </w:r>
      <w:r>
        <w:rPr>
          <w:noProof/>
        </w:rPr>
        <w:instrText xml:space="preserve"> PAGEREF _Toc101439070 \h </w:instrText>
      </w:r>
      <w:r>
        <w:rPr>
          <w:noProof/>
        </w:rPr>
      </w:r>
      <w:r>
        <w:rPr>
          <w:noProof/>
        </w:rPr>
        <w:fldChar w:fldCharType="separate"/>
      </w:r>
      <w:r>
        <w:rPr>
          <w:noProof/>
        </w:rPr>
        <w:t>54</w:t>
      </w:r>
      <w:r>
        <w:rPr>
          <w:noProof/>
        </w:rPr>
        <w:fldChar w:fldCharType="end"/>
      </w:r>
    </w:p>
    <w:p w14:paraId="0413B0A8" w14:textId="23986B2A" w:rsidR="00AB3A98" w:rsidRDefault="00AB3A98">
      <w:pPr>
        <w:pStyle w:val="TOC2"/>
        <w:rPr>
          <w:rFonts w:asciiTheme="minorHAnsi" w:eastAsiaTheme="minorEastAsia" w:hAnsiTheme="minorHAnsi" w:cstheme="minorBidi"/>
          <w:noProof/>
          <w:sz w:val="22"/>
          <w:szCs w:val="22"/>
        </w:rPr>
      </w:pPr>
      <w:r>
        <w:rPr>
          <w:noProof/>
        </w:rPr>
        <w:t>27.1   University Documents &amp; Forms</w:t>
      </w:r>
      <w:r>
        <w:rPr>
          <w:noProof/>
        </w:rPr>
        <w:tab/>
      </w:r>
      <w:r>
        <w:rPr>
          <w:noProof/>
        </w:rPr>
        <w:fldChar w:fldCharType="begin"/>
      </w:r>
      <w:r>
        <w:rPr>
          <w:noProof/>
        </w:rPr>
        <w:instrText xml:space="preserve"> PAGEREF _Toc101439071 \h </w:instrText>
      </w:r>
      <w:r>
        <w:rPr>
          <w:noProof/>
        </w:rPr>
      </w:r>
      <w:r>
        <w:rPr>
          <w:noProof/>
        </w:rPr>
        <w:fldChar w:fldCharType="separate"/>
      </w:r>
      <w:r>
        <w:rPr>
          <w:noProof/>
        </w:rPr>
        <w:t>54</w:t>
      </w:r>
      <w:r>
        <w:rPr>
          <w:noProof/>
        </w:rPr>
        <w:fldChar w:fldCharType="end"/>
      </w:r>
    </w:p>
    <w:p w14:paraId="026CD2E9" w14:textId="69C25ECE" w:rsidR="00AB3A98" w:rsidRDefault="00AB3A98">
      <w:pPr>
        <w:pStyle w:val="TOC1"/>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Revision and Updates</w:t>
      </w:r>
      <w:r>
        <w:rPr>
          <w:noProof/>
        </w:rPr>
        <w:tab/>
      </w:r>
      <w:r>
        <w:rPr>
          <w:noProof/>
        </w:rPr>
        <w:fldChar w:fldCharType="begin"/>
      </w:r>
      <w:r>
        <w:rPr>
          <w:noProof/>
        </w:rPr>
        <w:instrText xml:space="preserve"> PAGEREF _Toc101439072 \h </w:instrText>
      </w:r>
      <w:r>
        <w:rPr>
          <w:noProof/>
        </w:rPr>
      </w:r>
      <w:r>
        <w:rPr>
          <w:noProof/>
        </w:rPr>
        <w:fldChar w:fldCharType="separate"/>
      </w:r>
      <w:r>
        <w:rPr>
          <w:noProof/>
        </w:rPr>
        <w:t>55</w:t>
      </w:r>
      <w:r>
        <w:rPr>
          <w:noProof/>
        </w:rPr>
        <w:fldChar w:fldCharType="end"/>
      </w:r>
    </w:p>
    <w:p w14:paraId="23E3D8C3" w14:textId="2A16113A" w:rsidR="00AB3A98" w:rsidRDefault="00AB3A98">
      <w:pPr>
        <w:pStyle w:val="TOC2"/>
        <w:rPr>
          <w:rFonts w:asciiTheme="minorHAnsi" w:eastAsiaTheme="minorEastAsia" w:hAnsiTheme="minorHAnsi" w:cstheme="minorBidi"/>
          <w:noProof/>
          <w:sz w:val="22"/>
          <w:szCs w:val="22"/>
        </w:rPr>
      </w:pPr>
      <w:r>
        <w:rPr>
          <w:noProof/>
        </w:rPr>
        <w:t>28.1   Revision History</w:t>
      </w:r>
      <w:r>
        <w:rPr>
          <w:noProof/>
        </w:rPr>
        <w:tab/>
      </w:r>
      <w:r>
        <w:rPr>
          <w:noProof/>
        </w:rPr>
        <w:fldChar w:fldCharType="begin"/>
      </w:r>
      <w:r>
        <w:rPr>
          <w:noProof/>
        </w:rPr>
        <w:instrText xml:space="preserve"> PAGEREF _Toc101439073 \h </w:instrText>
      </w:r>
      <w:r>
        <w:rPr>
          <w:noProof/>
        </w:rPr>
      </w:r>
      <w:r>
        <w:rPr>
          <w:noProof/>
        </w:rPr>
        <w:fldChar w:fldCharType="separate"/>
      </w:r>
      <w:r>
        <w:rPr>
          <w:noProof/>
        </w:rPr>
        <w:t>55</w:t>
      </w:r>
      <w:r>
        <w:rPr>
          <w:noProof/>
        </w:rPr>
        <w:fldChar w:fldCharType="end"/>
      </w:r>
    </w:p>
    <w:p w14:paraId="76FF7972" w14:textId="41C6DE54" w:rsidR="00AB3A98" w:rsidRDefault="00AB3A98">
      <w:pPr>
        <w:pStyle w:val="TOC1"/>
        <w:rPr>
          <w:rFonts w:asciiTheme="minorHAnsi" w:eastAsiaTheme="minorEastAsia" w:hAnsiTheme="minorHAnsi" w:cstheme="minorBidi"/>
          <w:noProof/>
          <w:sz w:val="22"/>
          <w:szCs w:val="22"/>
        </w:rPr>
      </w:pPr>
      <w:r>
        <w:rPr>
          <w:noProof/>
        </w:rPr>
        <w:t>Appendix 1. Referenced Web Sites</w:t>
      </w:r>
      <w:r>
        <w:rPr>
          <w:noProof/>
        </w:rPr>
        <w:tab/>
      </w:r>
      <w:r>
        <w:rPr>
          <w:noProof/>
        </w:rPr>
        <w:fldChar w:fldCharType="begin"/>
      </w:r>
      <w:r>
        <w:rPr>
          <w:noProof/>
        </w:rPr>
        <w:instrText xml:space="preserve"> PAGEREF _Toc101439074 \h </w:instrText>
      </w:r>
      <w:r>
        <w:rPr>
          <w:noProof/>
        </w:rPr>
      </w:r>
      <w:r>
        <w:rPr>
          <w:noProof/>
        </w:rPr>
        <w:fldChar w:fldCharType="separate"/>
      </w:r>
      <w:r>
        <w:rPr>
          <w:noProof/>
        </w:rPr>
        <w:t>55</w:t>
      </w:r>
      <w:r>
        <w:rPr>
          <w:noProof/>
        </w:rPr>
        <w:fldChar w:fldCharType="end"/>
      </w:r>
    </w:p>
    <w:p w14:paraId="41E2FBA2" w14:textId="0C1994F1" w:rsidR="00AB3A98" w:rsidRDefault="00AB3A98">
      <w:pPr>
        <w:pStyle w:val="TOC2"/>
        <w:rPr>
          <w:rFonts w:asciiTheme="minorHAnsi" w:eastAsiaTheme="minorEastAsia" w:hAnsiTheme="minorHAnsi" w:cstheme="minorBidi"/>
          <w:noProof/>
          <w:sz w:val="22"/>
          <w:szCs w:val="22"/>
        </w:rPr>
      </w:pPr>
      <w:r>
        <w:rPr>
          <w:noProof/>
        </w:rPr>
        <w:t>A1.1 Curtin Internal Web Sites</w:t>
      </w:r>
      <w:r>
        <w:rPr>
          <w:noProof/>
        </w:rPr>
        <w:tab/>
      </w:r>
      <w:r>
        <w:rPr>
          <w:noProof/>
        </w:rPr>
        <w:fldChar w:fldCharType="begin"/>
      </w:r>
      <w:r>
        <w:rPr>
          <w:noProof/>
        </w:rPr>
        <w:instrText xml:space="preserve"> PAGEREF _Toc101439075 \h </w:instrText>
      </w:r>
      <w:r>
        <w:rPr>
          <w:noProof/>
        </w:rPr>
      </w:r>
      <w:r>
        <w:rPr>
          <w:noProof/>
        </w:rPr>
        <w:fldChar w:fldCharType="separate"/>
      </w:r>
      <w:r>
        <w:rPr>
          <w:noProof/>
        </w:rPr>
        <w:t>55</w:t>
      </w:r>
      <w:r>
        <w:rPr>
          <w:noProof/>
        </w:rPr>
        <w:fldChar w:fldCharType="end"/>
      </w:r>
    </w:p>
    <w:p w14:paraId="3BDC3B03" w14:textId="50044F5D" w:rsidR="00AB3A98" w:rsidRDefault="00AB3A98">
      <w:pPr>
        <w:pStyle w:val="TOC2"/>
        <w:rPr>
          <w:rFonts w:asciiTheme="minorHAnsi" w:eastAsiaTheme="minorEastAsia" w:hAnsiTheme="minorHAnsi" w:cstheme="minorBidi"/>
          <w:noProof/>
          <w:sz w:val="22"/>
          <w:szCs w:val="22"/>
        </w:rPr>
      </w:pPr>
      <w:r>
        <w:rPr>
          <w:noProof/>
        </w:rPr>
        <w:t>A1.2 Legislation Web Sites</w:t>
      </w:r>
      <w:r>
        <w:rPr>
          <w:noProof/>
        </w:rPr>
        <w:tab/>
      </w:r>
      <w:r>
        <w:rPr>
          <w:noProof/>
        </w:rPr>
        <w:fldChar w:fldCharType="begin"/>
      </w:r>
      <w:r>
        <w:rPr>
          <w:noProof/>
        </w:rPr>
        <w:instrText xml:space="preserve"> PAGEREF _Toc101439076 \h </w:instrText>
      </w:r>
      <w:r>
        <w:rPr>
          <w:noProof/>
        </w:rPr>
      </w:r>
      <w:r>
        <w:rPr>
          <w:noProof/>
        </w:rPr>
        <w:fldChar w:fldCharType="separate"/>
      </w:r>
      <w:r>
        <w:rPr>
          <w:noProof/>
        </w:rPr>
        <w:t>56</w:t>
      </w:r>
      <w:r>
        <w:rPr>
          <w:noProof/>
        </w:rPr>
        <w:fldChar w:fldCharType="end"/>
      </w:r>
    </w:p>
    <w:p w14:paraId="0AD0AEAC" w14:textId="4ADDE273" w:rsidR="00AB3A98" w:rsidRDefault="00AB3A98">
      <w:pPr>
        <w:pStyle w:val="TOC2"/>
        <w:rPr>
          <w:rFonts w:asciiTheme="minorHAnsi" w:eastAsiaTheme="minorEastAsia" w:hAnsiTheme="minorHAnsi" w:cstheme="minorBidi"/>
          <w:noProof/>
          <w:sz w:val="22"/>
          <w:szCs w:val="22"/>
        </w:rPr>
      </w:pPr>
      <w:r>
        <w:rPr>
          <w:noProof/>
        </w:rPr>
        <w:t>A1.3 Standards, Codes and Further Guidance</w:t>
      </w:r>
      <w:r>
        <w:rPr>
          <w:noProof/>
        </w:rPr>
        <w:tab/>
      </w:r>
      <w:r>
        <w:rPr>
          <w:noProof/>
        </w:rPr>
        <w:fldChar w:fldCharType="begin"/>
      </w:r>
      <w:r>
        <w:rPr>
          <w:noProof/>
        </w:rPr>
        <w:instrText xml:space="preserve"> PAGEREF _Toc101439077 \h </w:instrText>
      </w:r>
      <w:r>
        <w:rPr>
          <w:noProof/>
        </w:rPr>
      </w:r>
      <w:r>
        <w:rPr>
          <w:noProof/>
        </w:rPr>
        <w:fldChar w:fldCharType="separate"/>
      </w:r>
      <w:r>
        <w:rPr>
          <w:noProof/>
        </w:rPr>
        <w:t>56</w:t>
      </w:r>
      <w:r>
        <w:rPr>
          <w:noProof/>
        </w:rPr>
        <w:fldChar w:fldCharType="end"/>
      </w:r>
    </w:p>
    <w:p w14:paraId="61821673" w14:textId="02C9A207" w:rsidR="00482A2A" w:rsidRDefault="00E9069F" w:rsidP="00BF07DD">
      <w:pPr>
        <w:pStyle w:val="Header"/>
        <w:tabs>
          <w:tab w:val="clear" w:pos="8640"/>
          <w:tab w:val="right" w:pos="9356"/>
        </w:tabs>
        <w:spacing w:before="160" w:after="120"/>
        <w:rPr>
          <w:noProof/>
        </w:rPr>
      </w:pPr>
      <w:r>
        <w:rPr>
          <w:noProof/>
        </w:rPr>
        <w:fldChar w:fldCharType="end"/>
      </w:r>
    </w:p>
    <w:p w14:paraId="61821674" w14:textId="77777777" w:rsidR="00627918" w:rsidRDefault="00E9069F" w:rsidP="00F80633">
      <w:pPr>
        <w:pStyle w:val="Header"/>
        <w:tabs>
          <w:tab w:val="clear" w:pos="8640"/>
          <w:tab w:val="right" w:pos="9356"/>
        </w:tabs>
        <w:spacing w:before="160" w:after="120"/>
        <w:rPr>
          <w:rFonts w:cs="Arial"/>
          <w:b/>
          <w:noProof/>
        </w:rPr>
      </w:pPr>
      <w:r>
        <w:rPr>
          <w:rFonts w:ascii="Arial Bold" w:hAnsi="Arial Bold"/>
          <w:b/>
          <w:caps/>
          <w:noProof/>
          <w:sz w:val="24"/>
          <w:szCs w:val="24"/>
        </w:rPr>
        <w:t xml:space="preserve">List of </w:t>
      </w:r>
      <w:r w:rsidR="00055827" w:rsidRPr="00055827">
        <w:rPr>
          <w:rFonts w:ascii="Arial Bold" w:hAnsi="Arial Bold"/>
          <w:b/>
          <w:caps/>
          <w:noProof/>
          <w:sz w:val="24"/>
          <w:szCs w:val="24"/>
        </w:rPr>
        <w:t>Tables</w:t>
      </w:r>
    </w:p>
    <w:p w14:paraId="576AB3C5" w14:textId="0D6FF87B" w:rsidR="00FD1596" w:rsidRDefault="00E9069F">
      <w:pPr>
        <w:pStyle w:val="TableofFigures"/>
        <w:tabs>
          <w:tab w:val="right" w:pos="9487"/>
        </w:tabs>
        <w:rPr>
          <w:rFonts w:asciiTheme="minorHAnsi" w:eastAsiaTheme="minorEastAsia" w:hAnsiTheme="minorHAnsi" w:cstheme="minorBidi"/>
          <w:noProof/>
          <w:sz w:val="22"/>
          <w:szCs w:val="22"/>
        </w:rPr>
      </w:pPr>
      <w:r w:rsidRPr="00E3271A">
        <w:rPr>
          <w:rFonts w:cs="Arial"/>
          <w:b/>
          <w:noProof/>
        </w:rPr>
        <w:fldChar w:fldCharType="begin"/>
      </w:r>
      <w:r w:rsidRPr="00E3271A">
        <w:rPr>
          <w:rFonts w:cs="Arial"/>
          <w:b/>
          <w:noProof/>
        </w:rPr>
        <w:instrText xml:space="preserve"> TOC \z \c "Table"  \* MERGEFORMAT </w:instrText>
      </w:r>
      <w:r w:rsidRPr="00E3271A">
        <w:rPr>
          <w:rFonts w:cs="Arial"/>
          <w:b/>
          <w:noProof/>
        </w:rPr>
        <w:fldChar w:fldCharType="separate"/>
      </w:r>
      <w:r w:rsidR="00FD1596" w:rsidRPr="00E11DBD">
        <w:rPr>
          <w:rFonts w:eastAsia="Calibri" w:cs="Calibri"/>
          <w:b/>
          <w:bCs/>
          <w:noProof/>
          <w:lang w:val="en-US" w:eastAsia="en-US"/>
        </w:rPr>
        <w:t>Table 1: Main Roles, Responsibilities and Authorities related to chemical management.</w:t>
      </w:r>
      <w:r w:rsidR="00FD1596">
        <w:rPr>
          <w:noProof/>
          <w:webHidden/>
        </w:rPr>
        <w:tab/>
      </w:r>
      <w:r w:rsidR="00FD1596">
        <w:rPr>
          <w:noProof/>
          <w:webHidden/>
        </w:rPr>
        <w:fldChar w:fldCharType="begin"/>
      </w:r>
      <w:r w:rsidR="00FD1596">
        <w:rPr>
          <w:noProof/>
          <w:webHidden/>
        </w:rPr>
        <w:instrText xml:space="preserve"> PAGEREF _Toc99619988 \h </w:instrText>
      </w:r>
      <w:r w:rsidR="00FD1596">
        <w:rPr>
          <w:noProof/>
          <w:webHidden/>
        </w:rPr>
      </w:r>
      <w:r w:rsidR="00FD1596">
        <w:rPr>
          <w:noProof/>
          <w:webHidden/>
        </w:rPr>
        <w:fldChar w:fldCharType="separate"/>
      </w:r>
      <w:r w:rsidR="00FD1596">
        <w:rPr>
          <w:noProof/>
          <w:webHidden/>
        </w:rPr>
        <w:t>3</w:t>
      </w:r>
      <w:r w:rsidR="00FD1596">
        <w:rPr>
          <w:noProof/>
          <w:webHidden/>
        </w:rPr>
        <w:fldChar w:fldCharType="end"/>
      </w:r>
    </w:p>
    <w:p w14:paraId="337F6103" w14:textId="6C9E5230" w:rsidR="00FD1596" w:rsidRDefault="00FD1596">
      <w:pPr>
        <w:pStyle w:val="TableofFigures"/>
        <w:tabs>
          <w:tab w:val="right" w:pos="9487"/>
        </w:tabs>
        <w:rPr>
          <w:rFonts w:asciiTheme="minorHAnsi" w:eastAsiaTheme="minorEastAsia" w:hAnsiTheme="minorHAnsi" w:cstheme="minorBidi"/>
          <w:noProof/>
          <w:sz w:val="22"/>
          <w:szCs w:val="22"/>
        </w:rPr>
      </w:pPr>
      <w:r w:rsidRPr="00E11DBD">
        <w:rPr>
          <w:rFonts w:eastAsia="Calibri" w:cs="Calibri"/>
          <w:b/>
          <w:bCs/>
          <w:noProof/>
          <w:lang w:val="en-US" w:eastAsia="en-US"/>
        </w:rPr>
        <w:t>Table 2: Duties and responsibilities for labelling</w:t>
      </w:r>
      <w:r>
        <w:rPr>
          <w:noProof/>
          <w:webHidden/>
        </w:rPr>
        <w:tab/>
      </w:r>
      <w:r>
        <w:rPr>
          <w:noProof/>
          <w:webHidden/>
        </w:rPr>
        <w:fldChar w:fldCharType="begin"/>
      </w:r>
      <w:r>
        <w:rPr>
          <w:noProof/>
          <w:webHidden/>
        </w:rPr>
        <w:instrText xml:space="preserve"> PAGEREF _Toc99619989 \h </w:instrText>
      </w:r>
      <w:r>
        <w:rPr>
          <w:noProof/>
          <w:webHidden/>
        </w:rPr>
      </w:r>
      <w:r>
        <w:rPr>
          <w:noProof/>
          <w:webHidden/>
        </w:rPr>
        <w:fldChar w:fldCharType="separate"/>
      </w:r>
      <w:r>
        <w:rPr>
          <w:noProof/>
          <w:webHidden/>
        </w:rPr>
        <w:t>17</w:t>
      </w:r>
      <w:r>
        <w:rPr>
          <w:noProof/>
          <w:webHidden/>
        </w:rPr>
        <w:fldChar w:fldCharType="end"/>
      </w:r>
    </w:p>
    <w:p w14:paraId="38B97EC4" w14:textId="42334634" w:rsidR="00FD1596" w:rsidRDefault="00FD1596">
      <w:pPr>
        <w:pStyle w:val="TableofFigures"/>
        <w:tabs>
          <w:tab w:val="right" w:pos="9487"/>
        </w:tabs>
        <w:rPr>
          <w:rFonts w:asciiTheme="minorHAnsi" w:eastAsiaTheme="minorEastAsia" w:hAnsiTheme="minorHAnsi" w:cstheme="minorBidi"/>
          <w:noProof/>
          <w:sz w:val="22"/>
          <w:szCs w:val="22"/>
        </w:rPr>
      </w:pPr>
      <w:r w:rsidRPr="00E11DBD">
        <w:rPr>
          <w:rFonts w:eastAsia="Calibri" w:cs="Calibri"/>
          <w:b/>
          <w:bCs/>
          <w:noProof/>
          <w:lang w:val="en-US" w:eastAsia="en-US"/>
        </w:rPr>
        <w:t>Table 3: Minimum dimensions for hazard pictograms and sizes of text</w:t>
      </w:r>
      <w:r>
        <w:rPr>
          <w:noProof/>
          <w:webHidden/>
        </w:rPr>
        <w:tab/>
      </w:r>
      <w:r>
        <w:rPr>
          <w:noProof/>
          <w:webHidden/>
        </w:rPr>
        <w:fldChar w:fldCharType="begin"/>
      </w:r>
      <w:r>
        <w:rPr>
          <w:noProof/>
          <w:webHidden/>
        </w:rPr>
        <w:instrText xml:space="preserve"> PAGEREF _Toc99619990 \h </w:instrText>
      </w:r>
      <w:r>
        <w:rPr>
          <w:noProof/>
          <w:webHidden/>
        </w:rPr>
      </w:r>
      <w:r>
        <w:rPr>
          <w:noProof/>
          <w:webHidden/>
        </w:rPr>
        <w:fldChar w:fldCharType="separate"/>
      </w:r>
      <w:r>
        <w:rPr>
          <w:noProof/>
          <w:webHidden/>
        </w:rPr>
        <w:t>19</w:t>
      </w:r>
      <w:r>
        <w:rPr>
          <w:noProof/>
          <w:webHidden/>
        </w:rPr>
        <w:fldChar w:fldCharType="end"/>
      </w:r>
    </w:p>
    <w:p w14:paraId="3F40F467" w14:textId="774CAB87" w:rsidR="00FD1596" w:rsidRDefault="00FD1596">
      <w:pPr>
        <w:pStyle w:val="TableofFigures"/>
        <w:tabs>
          <w:tab w:val="right" w:pos="9487"/>
        </w:tabs>
        <w:rPr>
          <w:rFonts w:asciiTheme="minorHAnsi" w:eastAsiaTheme="minorEastAsia" w:hAnsiTheme="minorHAnsi" w:cstheme="minorBidi"/>
          <w:noProof/>
          <w:sz w:val="22"/>
          <w:szCs w:val="22"/>
        </w:rPr>
      </w:pPr>
      <w:r w:rsidRPr="00E11DBD">
        <w:rPr>
          <w:rFonts w:eastAsia="Calibri" w:cs="Calibri"/>
          <w:b/>
          <w:bCs/>
          <w:noProof/>
        </w:rPr>
        <w:t>Table 4: Guidance to compatibility between classes of dangerous goods</w:t>
      </w:r>
      <w:r>
        <w:rPr>
          <w:noProof/>
          <w:webHidden/>
        </w:rPr>
        <w:tab/>
      </w:r>
      <w:r>
        <w:rPr>
          <w:noProof/>
          <w:webHidden/>
        </w:rPr>
        <w:fldChar w:fldCharType="begin"/>
      </w:r>
      <w:r>
        <w:rPr>
          <w:noProof/>
          <w:webHidden/>
        </w:rPr>
        <w:instrText xml:space="preserve"> PAGEREF _Toc99619991 \h </w:instrText>
      </w:r>
      <w:r>
        <w:rPr>
          <w:noProof/>
          <w:webHidden/>
        </w:rPr>
      </w:r>
      <w:r>
        <w:rPr>
          <w:noProof/>
          <w:webHidden/>
        </w:rPr>
        <w:fldChar w:fldCharType="separate"/>
      </w:r>
      <w:r>
        <w:rPr>
          <w:noProof/>
          <w:webHidden/>
        </w:rPr>
        <w:t>22</w:t>
      </w:r>
      <w:r>
        <w:rPr>
          <w:noProof/>
          <w:webHidden/>
        </w:rPr>
        <w:fldChar w:fldCharType="end"/>
      </w:r>
    </w:p>
    <w:p w14:paraId="39ECED08" w14:textId="47CDAC40" w:rsidR="00FD1596" w:rsidRDefault="00FD1596">
      <w:pPr>
        <w:pStyle w:val="TableofFigures"/>
        <w:tabs>
          <w:tab w:val="right" w:pos="9487"/>
        </w:tabs>
        <w:rPr>
          <w:rFonts w:asciiTheme="minorHAnsi" w:eastAsiaTheme="minorEastAsia" w:hAnsiTheme="minorHAnsi" w:cstheme="minorBidi"/>
          <w:noProof/>
          <w:sz w:val="22"/>
          <w:szCs w:val="22"/>
        </w:rPr>
      </w:pPr>
      <w:r w:rsidRPr="00E11DBD">
        <w:rPr>
          <w:b/>
          <w:bCs/>
          <w:noProof/>
          <w:lang w:eastAsia="en-US"/>
        </w:rPr>
        <w:t>Table 6: Quantities of hazardous chemicals permitted to be stored in a laboratory other than in a chemicals storage cabinet</w:t>
      </w:r>
      <w:r>
        <w:rPr>
          <w:noProof/>
          <w:webHidden/>
        </w:rPr>
        <w:tab/>
      </w:r>
      <w:r>
        <w:rPr>
          <w:noProof/>
          <w:webHidden/>
        </w:rPr>
        <w:fldChar w:fldCharType="begin"/>
      </w:r>
      <w:r>
        <w:rPr>
          <w:noProof/>
          <w:webHidden/>
        </w:rPr>
        <w:instrText xml:space="preserve"> PAGEREF _Toc99619992 \h </w:instrText>
      </w:r>
      <w:r>
        <w:rPr>
          <w:noProof/>
          <w:webHidden/>
        </w:rPr>
      </w:r>
      <w:r>
        <w:rPr>
          <w:noProof/>
          <w:webHidden/>
        </w:rPr>
        <w:fldChar w:fldCharType="separate"/>
      </w:r>
      <w:r>
        <w:rPr>
          <w:noProof/>
          <w:webHidden/>
        </w:rPr>
        <w:t>23</w:t>
      </w:r>
      <w:r>
        <w:rPr>
          <w:noProof/>
          <w:webHidden/>
        </w:rPr>
        <w:fldChar w:fldCharType="end"/>
      </w:r>
    </w:p>
    <w:p w14:paraId="514E2F09" w14:textId="488CDFC8" w:rsidR="00FD1596" w:rsidRDefault="00FD1596">
      <w:pPr>
        <w:pStyle w:val="TableofFigures"/>
        <w:tabs>
          <w:tab w:val="right" w:pos="9487"/>
        </w:tabs>
        <w:rPr>
          <w:rFonts w:asciiTheme="minorHAnsi" w:eastAsiaTheme="minorEastAsia" w:hAnsiTheme="minorHAnsi" w:cstheme="minorBidi"/>
          <w:noProof/>
          <w:sz w:val="22"/>
          <w:szCs w:val="22"/>
        </w:rPr>
      </w:pPr>
      <w:r w:rsidRPr="00E11DBD">
        <w:rPr>
          <w:b/>
          <w:noProof/>
        </w:rPr>
        <w:t>Table 6: Guidance on Storage Limits of Common Time Sensitive Chemicals.</w:t>
      </w:r>
      <w:r>
        <w:rPr>
          <w:noProof/>
          <w:webHidden/>
        </w:rPr>
        <w:tab/>
      </w:r>
      <w:r>
        <w:rPr>
          <w:noProof/>
          <w:webHidden/>
        </w:rPr>
        <w:fldChar w:fldCharType="begin"/>
      </w:r>
      <w:r>
        <w:rPr>
          <w:noProof/>
          <w:webHidden/>
        </w:rPr>
        <w:instrText xml:space="preserve"> PAGEREF _Toc99619993 \h </w:instrText>
      </w:r>
      <w:r>
        <w:rPr>
          <w:noProof/>
          <w:webHidden/>
        </w:rPr>
      </w:r>
      <w:r>
        <w:rPr>
          <w:noProof/>
          <w:webHidden/>
        </w:rPr>
        <w:fldChar w:fldCharType="separate"/>
      </w:r>
      <w:r>
        <w:rPr>
          <w:noProof/>
          <w:webHidden/>
        </w:rPr>
        <w:t>35</w:t>
      </w:r>
      <w:r>
        <w:rPr>
          <w:noProof/>
          <w:webHidden/>
        </w:rPr>
        <w:fldChar w:fldCharType="end"/>
      </w:r>
    </w:p>
    <w:p w14:paraId="3F6F5206" w14:textId="7465FFC0" w:rsidR="00FD1596" w:rsidRDefault="00FD1596">
      <w:pPr>
        <w:pStyle w:val="TableofFigures"/>
        <w:tabs>
          <w:tab w:val="right" w:pos="9487"/>
        </w:tabs>
        <w:rPr>
          <w:rFonts w:asciiTheme="minorHAnsi" w:eastAsiaTheme="minorEastAsia" w:hAnsiTheme="minorHAnsi" w:cstheme="minorBidi"/>
          <w:noProof/>
          <w:sz w:val="22"/>
          <w:szCs w:val="22"/>
        </w:rPr>
      </w:pPr>
      <w:r w:rsidRPr="00E11DBD">
        <w:rPr>
          <w:rFonts w:eastAsia="Calibri" w:cs="Calibri"/>
          <w:b/>
          <w:bCs/>
          <w:noProof/>
          <w:lang w:val="en-US" w:eastAsia="en-US"/>
        </w:rPr>
        <w:t>Table 7: Common types of engineered nanomaterials</w:t>
      </w:r>
      <w:r>
        <w:rPr>
          <w:noProof/>
          <w:webHidden/>
        </w:rPr>
        <w:tab/>
      </w:r>
      <w:r>
        <w:rPr>
          <w:noProof/>
          <w:webHidden/>
        </w:rPr>
        <w:fldChar w:fldCharType="begin"/>
      </w:r>
      <w:r>
        <w:rPr>
          <w:noProof/>
          <w:webHidden/>
        </w:rPr>
        <w:instrText xml:space="preserve"> PAGEREF _Toc99619994 \h </w:instrText>
      </w:r>
      <w:r>
        <w:rPr>
          <w:noProof/>
          <w:webHidden/>
        </w:rPr>
      </w:r>
      <w:r>
        <w:rPr>
          <w:noProof/>
          <w:webHidden/>
        </w:rPr>
        <w:fldChar w:fldCharType="separate"/>
      </w:r>
      <w:r>
        <w:rPr>
          <w:noProof/>
          <w:webHidden/>
        </w:rPr>
        <w:t>36</w:t>
      </w:r>
      <w:r>
        <w:rPr>
          <w:noProof/>
          <w:webHidden/>
        </w:rPr>
        <w:fldChar w:fldCharType="end"/>
      </w:r>
    </w:p>
    <w:p w14:paraId="2CAA7D48" w14:textId="4725B723" w:rsidR="00FD1596" w:rsidRDefault="00FD1596">
      <w:pPr>
        <w:pStyle w:val="TableofFigures"/>
        <w:tabs>
          <w:tab w:val="right" w:pos="9487"/>
        </w:tabs>
        <w:rPr>
          <w:rFonts w:asciiTheme="minorHAnsi" w:eastAsiaTheme="minorEastAsia" w:hAnsiTheme="minorHAnsi" w:cstheme="minorBidi"/>
          <w:noProof/>
          <w:sz w:val="22"/>
          <w:szCs w:val="22"/>
        </w:rPr>
      </w:pPr>
      <w:r w:rsidRPr="00E11DBD">
        <w:rPr>
          <w:b/>
          <w:noProof/>
          <w:lang w:eastAsia="en-US"/>
        </w:rPr>
        <w:t xml:space="preserve">Table 8: Chemical covered by the </w:t>
      </w:r>
      <w:r w:rsidRPr="00E11DBD">
        <w:rPr>
          <w:b/>
          <w:noProof/>
        </w:rPr>
        <w:t>National Code of Practice for Chemicals of Security Concern.</w:t>
      </w:r>
      <w:r>
        <w:rPr>
          <w:noProof/>
          <w:webHidden/>
        </w:rPr>
        <w:tab/>
      </w:r>
      <w:r>
        <w:rPr>
          <w:noProof/>
          <w:webHidden/>
        </w:rPr>
        <w:fldChar w:fldCharType="begin"/>
      </w:r>
      <w:r>
        <w:rPr>
          <w:noProof/>
          <w:webHidden/>
        </w:rPr>
        <w:instrText xml:space="preserve"> PAGEREF _Toc99619995 \h </w:instrText>
      </w:r>
      <w:r>
        <w:rPr>
          <w:noProof/>
          <w:webHidden/>
        </w:rPr>
      </w:r>
      <w:r>
        <w:rPr>
          <w:noProof/>
          <w:webHidden/>
        </w:rPr>
        <w:fldChar w:fldCharType="separate"/>
      </w:r>
      <w:r>
        <w:rPr>
          <w:noProof/>
          <w:webHidden/>
        </w:rPr>
        <w:t>40</w:t>
      </w:r>
      <w:r>
        <w:rPr>
          <w:noProof/>
          <w:webHidden/>
        </w:rPr>
        <w:fldChar w:fldCharType="end"/>
      </w:r>
    </w:p>
    <w:p w14:paraId="2395097A" w14:textId="30941A68" w:rsidR="00FD1596" w:rsidRDefault="00FD1596">
      <w:pPr>
        <w:pStyle w:val="TableofFigures"/>
        <w:tabs>
          <w:tab w:val="right" w:pos="9487"/>
        </w:tabs>
        <w:rPr>
          <w:rFonts w:asciiTheme="minorHAnsi" w:eastAsiaTheme="minorEastAsia" w:hAnsiTheme="minorHAnsi" w:cstheme="minorBidi"/>
          <w:noProof/>
          <w:sz w:val="22"/>
          <w:szCs w:val="22"/>
        </w:rPr>
      </w:pPr>
      <w:r w:rsidRPr="00E11DBD">
        <w:rPr>
          <w:rFonts w:cs="Arial"/>
          <w:b/>
          <w:noProof/>
        </w:rPr>
        <w:t xml:space="preserve">Table 9: Category 1 items under the </w:t>
      </w:r>
      <w:r w:rsidRPr="00E11DBD">
        <w:rPr>
          <w:b/>
          <w:noProof/>
        </w:rPr>
        <w:t>Misuse of Drugs Act Regulations 1982, Schedule 3.</w:t>
      </w:r>
      <w:r>
        <w:rPr>
          <w:noProof/>
          <w:webHidden/>
        </w:rPr>
        <w:tab/>
      </w:r>
      <w:r>
        <w:rPr>
          <w:noProof/>
          <w:webHidden/>
        </w:rPr>
        <w:fldChar w:fldCharType="begin"/>
      </w:r>
      <w:r>
        <w:rPr>
          <w:noProof/>
          <w:webHidden/>
        </w:rPr>
        <w:instrText xml:space="preserve"> PAGEREF _Toc99619996 \h </w:instrText>
      </w:r>
      <w:r>
        <w:rPr>
          <w:noProof/>
          <w:webHidden/>
        </w:rPr>
      </w:r>
      <w:r>
        <w:rPr>
          <w:noProof/>
          <w:webHidden/>
        </w:rPr>
        <w:fldChar w:fldCharType="separate"/>
      </w:r>
      <w:r>
        <w:rPr>
          <w:noProof/>
          <w:webHidden/>
        </w:rPr>
        <w:t>50</w:t>
      </w:r>
      <w:r>
        <w:rPr>
          <w:noProof/>
          <w:webHidden/>
        </w:rPr>
        <w:fldChar w:fldCharType="end"/>
      </w:r>
    </w:p>
    <w:p w14:paraId="27994A64" w14:textId="03EAB9D2" w:rsidR="00FD1596" w:rsidRDefault="00FD1596">
      <w:pPr>
        <w:pStyle w:val="TableofFigures"/>
        <w:tabs>
          <w:tab w:val="right" w:pos="9487"/>
        </w:tabs>
        <w:rPr>
          <w:rFonts w:asciiTheme="minorHAnsi" w:eastAsiaTheme="minorEastAsia" w:hAnsiTheme="minorHAnsi" w:cstheme="minorBidi"/>
          <w:noProof/>
          <w:sz w:val="22"/>
          <w:szCs w:val="22"/>
        </w:rPr>
      </w:pPr>
      <w:r w:rsidRPr="00E11DBD">
        <w:rPr>
          <w:rFonts w:cs="Arial"/>
          <w:b/>
          <w:noProof/>
        </w:rPr>
        <w:t xml:space="preserve">Table 10: Category 2 items under the </w:t>
      </w:r>
      <w:r w:rsidRPr="00E11DBD">
        <w:rPr>
          <w:b/>
          <w:noProof/>
        </w:rPr>
        <w:t>Misuse of Drugs Act Regulations 1982, Schedule 4.</w:t>
      </w:r>
      <w:r>
        <w:rPr>
          <w:noProof/>
          <w:webHidden/>
        </w:rPr>
        <w:tab/>
      </w:r>
      <w:r>
        <w:rPr>
          <w:noProof/>
          <w:webHidden/>
        </w:rPr>
        <w:fldChar w:fldCharType="begin"/>
      </w:r>
      <w:r>
        <w:rPr>
          <w:noProof/>
          <w:webHidden/>
        </w:rPr>
        <w:instrText xml:space="preserve"> PAGEREF _Toc99619997 \h </w:instrText>
      </w:r>
      <w:r>
        <w:rPr>
          <w:noProof/>
          <w:webHidden/>
        </w:rPr>
      </w:r>
      <w:r>
        <w:rPr>
          <w:noProof/>
          <w:webHidden/>
        </w:rPr>
        <w:fldChar w:fldCharType="separate"/>
      </w:r>
      <w:r>
        <w:rPr>
          <w:noProof/>
          <w:webHidden/>
        </w:rPr>
        <w:t>52</w:t>
      </w:r>
      <w:r>
        <w:rPr>
          <w:noProof/>
          <w:webHidden/>
        </w:rPr>
        <w:fldChar w:fldCharType="end"/>
      </w:r>
    </w:p>
    <w:p w14:paraId="6182168B" w14:textId="54E63400" w:rsidR="00E447DF" w:rsidRDefault="00E9069F">
      <w:pPr>
        <w:keepLines w:val="0"/>
        <w:spacing w:before="0"/>
        <w:jc w:val="left"/>
        <w:rPr>
          <w:noProof/>
        </w:rPr>
      </w:pPr>
      <w:r w:rsidRPr="00E3271A">
        <w:rPr>
          <w:rFonts w:cs="Arial"/>
          <w:b/>
          <w:noProof/>
        </w:rPr>
        <w:fldChar w:fldCharType="end"/>
      </w:r>
      <w:r>
        <w:rPr>
          <w:noProof/>
        </w:rPr>
        <w:br w:type="page"/>
      </w:r>
    </w:p>
    <w:p w14:paraId="6182168C" w14:textId="77777777" w:rsidR="00496AB5" w:rsidRPr="00A01F81" w:rsidRDefault="00E9069F" w:rsidP="00E01967">
      <w:pPr>
        <w:pStyle w:val="Header"/>
        <w:spacing w:after="240"/>
        <w:rPr>
          <w:rFonts w:ascii="Arial Bold" w:hAnsi="Arial Bold"/>
          <w:b/>
          <w:caps/>
          <w:noProof/>
          <w:sz w:val="24"/>
          <w:szCs w:val="24"/>
        </w:rPr>
      </w:pPr>
      <w:r w:rsidRPr="00A01F81">
        <w:rPr>
          <w:rFonts w:ascii="Arial Bold" w:hAnsi="Arial Bold"/>
          <w:b/>
          <w:caps/>
          <w:noProof/>
          <w:sz w:val="24"/>
          <w:szCs w:val="24"/>
        </w:rPr>
        <w:lastRenderedPageBreak/>
        <w:t>Definitions</w:t>
      </w:r>
    </w:p>
    <w:tbl>
      <w:tblPr>
        <w:tblStyle w:val="SLRTable1"/>
        <w:tblW w:w="9493" w:type="dxa"/>
        <w:tblBorders>
          <w:left w:val="single" w:sz="2" w:space="0" w:color="auto"/>
          <w:right w:val="single" w:sz="2" w:space="0" w:color="auto"/>
          <w:insideV w:val="single" w:sz="2" w:space="0" w:color="auto"/>
        </w:tblBorders>
        <w:tblLook w:val="04A0" w:firstRow="1" w:lastRow="0" w:firstColumn="1" w:lastColumn="0" w:noHBand="0" w:noVBand="1"/>
      </w:tblPr>
      <w:tblGrid>
        <w:gridCol w:w="2263"/>
        <w:gridCol w:w="7230"/>
      </w:tblGrid>
      <w:tr w:rsidR="0059373B" w14:paraId="6182168F" w14:textId="77777777" w:rsidTr="00A01F81">
        <w:tc>
          <w:tcPr>
            <w:tcW w:w="2263" w:type="dxa"/>
          </w:tcPr>
          <w:p w14:paraId="6182168D" w14:textId="77777777" w:rsidR="00A01F81" w:rsidRPr="00A01F81" w:rsidRDefault="00E9069F" w:rsidP="00A01F81">
            <w:pPr>
              <w:spacing w:before="60" w:after="60"/>
              <w:jc w:val="left"/>
              <w:rPr>
                <w:rFonts w:eastAsia="MS Mincho" w:cs="Arial"/>
                <w:b/>
                <w:lang w:eastAsia="ja-JP"/>
              </w:rPr>
            </w:pPr>
            <w:r>
              <w:rPr>
                <w:rFonts w:eastAsia="MS Mincho" w:cs="Arial"/>
                <w:b/>
                <w:lang w:eastAsia="ja-JP"/>
              </w:rPr>
              <w:t>Name</w:t>
            </w:r>
          </w:p>
        </w:tc>
        <w:tc>
          <w:tcPr>
            <w:tcW w:w="7230" w:type="dxa"/>
          </w:tcPr>
          <w:p w14:paraId="6182168E" w14:textId="77777777" w:rsidR="00A01F81" w:rsidRPr="00A01F81" w:rsidRDefault="00E9069F" w:rsidP="00A01F81">
            <w:pPr>
              <w:spacing w:before="60" w:after="60"/>
              <w:rPr>
                <w:b/>
              </w:rPr>
            </w:pPr>
            <w:r w:rsidRPr="00A01F81">
              <w:rPr>
                <w:b/>
              </w:rPr>
              <w:t>Definition</w:t>
            </w:r>
          </w:p>
        </w:tc>
      </w:tr>
      <w:tr w:rsidR="0059373B" w14:paraId="61821692" w14:textId="77777777" w:rsidTr="00A01F81">
        <w:tc>
          <w:tcPr>
            <w:tcW w:w="2263" w:type="dxa"/>
          </w:tcPr>
          <w:p w14:paraId="61821690" w14:textId="77777777" w:rsidR="00810A86" w:rsidRPr="00A01F81" w:rsidRDefault="00E9069F" w:rsidP="00810A86">
            <w:pPr>
              <w:spacing w:before="60" w:after="60"/>
              <w:jc w:val="left"/>
              <w:rPr>
                <w:b/>
              </w:rPr>
            </w:pPr>
            <w:r w:rsidRPr="00A01F81">
              <w:rPr>
                <w:rFonts w:eastAsia="MS Mincho" w:cs="Arial"/>
                <w:b/>
                <w:lang w:eastAsia="ja-JP"/>
              </w:rPr>
              <w:t xml:space="preserve">ADG Code  </w:t>
            </w:r>
          </w:p>
        </w:tc>
        <w:tc>
          <w:tcPr>
            <w:tcW w:w="7230" w:type="dxa"/>
          </w:tcPr>
          <w:p w14:paraId="61821691" w14:textId="77777777" w:rsidR="00810A86" w:rsidRPr="00A01F81" w:rsidRDefault="00E9069F" w:rsidP="00810A86">
            <w:pPr>
              <w:spacing w:before="60" w:after="60"/>
            </w:pPr>
            <w:r w:rsidRPr="00A01F81">
              <w:t>The Australian Code for the Transport of Dangerous Goods by Road or Rail ('Australian Dangerous Goods Code') 7th Edition.</w:t>
            </w:r>
          </w:p>
        </w:tc>
      </w:tr>
      <w:tr w:rsidR="0059373B" w14:paraId="61821695" w14:textId="77777777" w:rsidTr="00A01F81">
        <w:tc>
          <w:tcPr>
            <w:tcW w:w="2263" w:type="dxa"/>
          </w:tcPr>
          <w:p w14:paraId="61821693" w14:textId="77777777" w:rsidR="00810A86" w:rsidRPr="00A01F81" w:rsidRDefault="00E9069F" w:rsidP="00810A86">
            <w:pPr>
              <w:spacing w:before="60" w:after="60"/>
              <w:jc w:val="left"/>
              <w:rPr>
                <w:b/>
              </w:rPr>
            </w:pPr>
            <w:r>
              <w:rPr>
                <w:b/>
              </w:rPr>
              <w:t>Bulk storage</w:t>
            </w:r>
          </w:p>
        </w:tc>
        <w:tc>
          <w:tcPr>
            <w:tcW w:w="7230" w:type="dxa"/>
          </w:tcPr>
          <w:p w14:paraId="61821694" w14:textId="77777777" w:rsidR="00810A86" w:rsidRPr="00A01F81" w:rsidRDefault="00E9069F" w:rsidP="00810A86">
            <w:pPr>
              <w:spacing w:before="60" w:after="60"/>
            </w:pPr>
            <w:r>
              <w:t>Storage of liquids, such as petroleum products in tanks as distinguished from drum or packaged storage</w:t>
            </w:r>
          </w:p>
        </w:tc>
      </w:tr>
      <w:tr w:rsidR="0059373B" w14:paraId="61821698" w14:textId="77777777" w:rsidTr="00A01F81">
        <w:tc>
          <w:tcPr>
            <w:tcW w:w="2263" w:type="dxa"/>
          </w:tcPr>
          <w:p w14:paraId="61821696" w14:textId="77777777" w:rsidR="00810A86" w:rsidRPr="00A01F81" w:rsidRDefault="00E9069F" w:rsidP="00810A86">
            <w:pPr>
              <w:spacing w:before="60" w:after="60"/>
              <w:jc w:val="left"/>
              <w:rPr>
                <w:b/>
              </w:rPr>
            </w:pPr>
            <w:r w:rsidRPr="00A01F81">
              <w:rPr>
                <w:b/>
              </w:rPr>
              <w:t>ChemAlert Authorised Users</w:t>
            </w:r>
          </w:p>
        </w:tc>
        <w:tc>
          <w:tcPr>
            <w:tcW w:w="7230" w:type="dxa"/>
          </w:tcPr>
          <w:p w14:paraId="61821697" w14:textId="77777777" w:rsidR="00810A86" w:rsidRPr="00A01F81" w:rsidRDefault="00E9069F" w:rsidP="00810A86">
            <w:pPr>
              <w:spacing w:before="60" w:after="60"/>
            </w:pPr>
            <w:r w:rsidRPr="00A01F81">
              <w:t>Curtin staff who have been provided with write access to the ChemAlert system by the ChemAlert Administrator.</w:t>
            </w:r>
          </w:p>
        </w:tc>
      </w:tr>
      <w:tr w:rsidR="0059373B" w14:paraId="6182169B" w14:textId="77777777" w:rsidTr="00A01F81">
        <w:tc>
          <w:tcPr>
            <w:tcW w:w="2263" w:type="dxa"/>
          </w:tcPr>
          <w:p w14:paraId="61821699" w14:textId="77777777" w:rsidR="00810A86" w:rsidRPr="00A01F81" w:rsidRDefault="00E9069F" w:rsidP="00810A86">
            <w:pPr>
              <w:spacing w:before="60" w:after="60"/>
              <w:jc w:val="left"/>
              <w:rPr>
                <w:b/>
              </w:rPr>
            </w:pPr>
            <w:r w:rsidRPr="00A01F81">
              <w:rPr>
                <w:b/>
              </w:rPr>
              <w:t>ChemAlert</w:t>
            </w:r>
          </w:p>
        </w:tc>
        <w:tc>
          <w:tcPr>
            <w:tcW w:w="7230" w:type="dxa"/>
          </w:tcPr>
          <w:p w14:paraId="6182169A" w14:textId="77777777" w:rsidR="00810A86" w:rsidRPr="00A01F81" w:rsidRDefault="00E9069F" w:rsidP="00810A86">
            <w:pPr>
              <w:spacing w:before="60" w:after="60"/>
            </w:pPr>
            <w:r w:rsidRPr="00A01F81">
              <w:t>An electronic Safety Data Sheet (SDS) repository and chemical inventory management system that aids Curtin University to meet its chemical regulatory requirements.</w:t>
            </w:r>
          </w:p>
        </w:tc>
      </w:tr>
      <w:tr w:rsidR="0059373B" w14:paraId="6182169E" w14:textId="77777777" w:rsidTr="00A01F81">
        <w:tc>
          <w:tcPr>
            <w:tcW w:w="2263" w:type="dxa"/>
          </w:tcPr>
          <w:p w14:paraId="6182169C" w14:textId="77777777" w:rsidR="00810A86" w:rsidRPr="00A01F81" w:rsidRDefault="00E9069F" w:rsidP="00810A86">
            <w:pPr>
              <w:spacing w:before="60" w:after="60"/>
              <w:jc w:val="left"/>
              <w:rPr>
                <w:b/>
              </w:rPr>
            </w:pPr>
            <w:r w:rsidRPr="00A01F81">
              <w:rPr>
                <w:b/>
              </w:rPr>
              <w:t>Chemical</w:t>
            </w:r>
          </w:p>
        </w:tc>
        <w:tc>
          <w:tcPr>
            <w:tcW w:w="7230" w:type="dxa"/>
          </w:tcPr>
          <w:p w14:paraId="6182169D" w14:textId="77777777" w:rsidR="00810A86" w:rsidRPr="00A01F81" w:rsidRDefault="00E9069F" w:rsidP="00810A86">
            <w:pPr>
              <w:spacing w:before="60" w:after="60"/>
            </w:pPr>
            <w:r w:rsidRPr="00A01F81">
              <w:t xml:space="preserve">Term used to define chemical substances, including Dangerous Goods, Hazardous Substances as well as substances that do not fall into either classification. They may be solids, </w:t>
            </w:r>
            <w:proofErr w:type="gramStart"/>
            <w:r w:rsidRPr="00A01F81">
              <w:t>liquids</w:t>
            </w:r>
            <w:proofErr w:type="gramEnd"/>
            <w:r w:rsidRPr="00A01F81">
              <w:t xml:space="preserve"> or gases; they may be pure substances or mixtures.</w:t>
            </w:r>
          </w:p>
        </w:tc>
      </w:tr>
      <w:tr w:rsidR="0059373B" w14:paraId="618216A1" w14:textId="77777777" w:rsidTr="00A01F81">
        <w:tc>
          <w:tcPr>
            <w:tcW w:w="2263" w:type="dxa"/>
          </w:tcPr>
          <w:p w14:paraId="6182169F" w14:textId="77777777" w:rsidR="00810A86" w:rsidRPr="00A01F81" w:rsidRDefault="00E9069F" w:rsidP="00810A86">
            <w:pPr>
              <w:spacing w:before="60" w:after="60"/>
              <w:jc w:val="left"/>
              <w:rPr>
                <w:b/>
              </w:rPr>
            </w:pPr>
            <w:r w:rsidRPr="00A01F81">
              <w:rPr>
                <w:b/>
              </w:rPr>
              <w:t>Class</w:t>
            </w:r>
          </w:p>
        </w:tc>
        <w:tc>
          <w:tcPr>
            <w:tcW w:w="7230" w:type="dxa"/>
          </w:tcPr>
          <w:p w14:paraId="618216A0" w14:textId="77777777" w:rsidR="00810A86" w:rsidRPr="00A01F81" w:rsidRDefault="00E9069F" w:rsidP="00810A86">
            <w:pPr>
              <w:spacing w:before="60" w:after="60"/>
            </w:pPr>
            <w:r w:rsidRPr="00A01F81">
              <w:t>Class of dangerous goods, means the number assigned to the goods in the ADG Code indicating the hazard, or most predominant hazard, exhibited by the goods.</w:t>
            </w:r>
          </w:p>
        </w:tc>
      </w:tr>
      <w:tr w:rsidR="0059373B" w14:paraId="618216A4" w14:textId="77777777" w:rsidTr="00A01F81">
        <w:tc>
          <w:tcPr>
            <w:tcW w:w="2263" w:type="dxa"/>
          </w:tcPr>
          <w:p w14:paraId="618216A2" w14:textId="77777777" w:rsidR="00810A86" w:rsidRPr="00A01F81" w:rsidRDefault="00E9069F" w:rsidP="00810A86">
            <w:pPr>
              <w:spacing w:before="60" w:after="60"/>
              <w:jc w:val="left"/>
              <w:rPr>
                <w:b/>
              </w:rPr>
            </w:pPr>
            <w:r w:rsidRPr="00A01F81">
              <w:rPr>
                <w:b/>
              </w:rPr>
              <w:t>Container</w:t>
            </w:r>
          </w:p>
        </w:tc>
        <w:tc>
          <w:tcPr>
            <w:tcW w:w="7230" w:type="dxa"/>
          </w:tcPr>
          <w:p w14:paraId="618216A3" w14:textId="77777777" w:rsidR="00810A86" w:rsidRPr="00A01F81" w:rsidRDefault="00E9069F" w:rsidP="00810A86">
            <w:pPr>
              <w:spacing w:before="60" w:after="60"/>
            </w:pPr>
            <w:r w:rsidRPr="00A01F81">
              <w:t xml:space="preserve">Means anything in or by which a hazardous chemical is, or has been, wholly or partly covered, </w:t>
            </w:r>
            <w:proofErr w:type="gramStart"/>
            <w:r w:rsidRPr="00A01F81">
              <w:t>enclosed</w:t>
            </w:r>
            <w:proofErr w:type="gramEnd"/>
            <w:r w:rsidRPr="00A01F81">
              <w:t xml:space="preserve"> or packed, including anything necessary to perform its function as a container.</w:t>
            </w:r>
          </w:p>
        </w:tc>
      </w:tr>
      <w:tr w:rsidR="0059373B" w14:paraId="618216A7" w14:textId="77777777" w:rsidTr="00A01F81">
        <w:tc>
          <w:tcPr>
            <w:tcW w:w="2263" w:type="dxa"/>
          </w:tcPr>
          <w:p w14:paraId="618216A5" w14:textId="77777777" w:rsidR="00810A86" w:rsidRPr="00A01F81" w:rsidRDefault="00E9069F" w:rsidP="00810A86">
            <w:pPr>
              <w:spacing w:before="60" w:after="60"/>
              <w:jc w:val="left"/>
              <w:rPr>
                <w:b/>
              </w:rPr>
            </w:pPr>
            <w:r w:rsidRPr="00A01F81">
              <w:rPr>
                <w:b/>
              </w:rPr>
              <w:t>Controlled Substances</w:t>
            </w:r>
          </w:p>
        </w:tc>
        <w:tc>
          <w:tcPr>
            <w:tcW w:w="7230" w:type="dxa"/>
          </w:tcPr>
          <w:p w14:paraId="618216A6" w14:textId="13C0D7F3" w:rsidR="00810A86" w:rsidRPr="00A01F81" w:rsidRDefault="00E9069F" w:rsidP="00BE241C">
            <w:pPr>
              <w:spacing w:before="60" w:after="60"/>
            </w:pPr>
            <w:r w:rsidRPr="00A01F81">
              <w:t xml:space="preserve">Controlled Substances is a classification of pharmaceuticals and poisons that require licensing. Under the </w:t>
            </w:r>
            <w:r w:rsidR="00AE71F5" w:rsidRPr="00A01F81">
              <w:t>licen</w:t>
            </w:r>
            <w:r w:rsidR="00AE71F5">
              <w:t>c</w:t>
            </w:r>
            <w:r w:rsidR="00AE71F5" w:rsidRPr="00A01F81">
              <w:t xml:space="preserve">e </w:t>
            </w:r>
            <w:r w:rsidRPr="00A01F81">
              <w:t xml:space="preserve">conditions there are restrictions on access, labelling and use. Restrictions are determined by the </w:t>
            </w:r>
            <w:r w:rsidR="00AE71F5">
              <w:t>Medicines and Poisons Regulations 2016</w:t>
            </w:r>
            <w:r w:rsidRPr="00A01F81">
              <w:t xml:space="preserve"> – means any medicine, drug or toxic chemical scheduled under the </w:t>
            </w:r>
            <w:r w:rsidR="00AE71F5">
              <w:t>Medicines and Poisons Act 2014</w:t>
            </w:r>
            <w:r w:rsidRPr="00A01F81">
              <w:t xml:space="preserve"> and associated regulations, for the purpose of protecting the public from harm.</w:t>
            </w:r>
          </w:p>
        </w:tc>
      </w:tr>
      <w:tr w:rsidR="0059373B" w14:paraId="618216AA" w14:textId="77777777" w:rsidTr="00A01F81">
        <w:tc>
          <w:tcPr>
            <w:tcW w:w="2263" w:type="dxa"/>
          </w:tcPr>
          <w:p w14:paraId="618216A8" w14:textId="77777777" w:rsidR="00810A86" w:rsidRPr="00A01F81" w:rsidRDefault="00E9069F" w:rsidP="00810A86">
            <w:pPr>
              <w:spacing w:before="60" w:after="60"/>
              <w:jc w:val="left"/>
              <w:rPr>
                <w:b/>
              </w:rPr>
            </w:pPr>
            <w:r w:rsidRPr="00A01F81">
              <w:rPr>
                <w:b/>
              </w:rPr>
              <w:t>Correct classification</w:t>
            </w:r>
          </w:p>
        </w:tc>
        <w:tc>
          <w:tcPr>
            <w:tcW w:w="7230" w:type="dxa"/>
          </w:tcPr>
          <w:p w14:paraId="618216A9" w14:textId="77777777" w:rsidR="00810A86" w:rsidRPr="00A01F81" w:rsidRDefault="00E9069F" w:rsidP="00810A86">
            <w:pPr>
              <w:tabs>
                <w:tab w:val="left" w:pos="1741"/>
              </w:tabs>
              <w:spacing w:before="60" w:after="60"/>
            </w:pPr>
            <w:r w:rsidRPr="00A01F81">
              <w:t xml:space="preserve">Means the set of hazard classes and hazard categories assigned to a hazardous chemical when it is correctly classified. </w:t>
            </w:r>
          </w:p>
        </w:tc>
      </w:tr>
      <w:tr w:rsidR="0059373B" w14:paraId="618216AD" w14:textId="77777777" w:rsidTr="00A01F81">
        <w:tc>
          <w:tcPr>
            <w:tcW w:w="2263" w:type="dxa"/>
          </w:tcPr>
          <w:p w14:paraId="618216AB" w14:textId="77777777" w:rsidR="00810A86" w:rsidRPr="00A01F81" w:rsidRDefault="00E9069F" w:rsidP="00810A86">
            <w:pPr>
              <w:spacing w:before="60" w:after="60"/>
              <w:jc w:val="left"/>
              <w:rPr>
                <w:b/>
              </w:rPr>
            </w:pPr>
            <w:r w:rsidRPr="00A01F81">
              <w:rPr>
                <w:b/>
              </w:rPr>
              <w:t>Dangerous Goods</w:t>
            </w:r>
          </w:p>
        </w:tc>
        <w:tc>
          <w:tcPr>
            <w:tcW w:w="7230" w:type="dxa"/>
          </w:tcPr>
          <w:p w14:paraId="618216AC" w14:textId="77777777" w:rsidR="00810A86" w:rsidRPr="00A01F81" w:rsidRDefault="00E9069F" w:rsidP="00810A86">
            <w:pPr>
              <w:tabs>
                <w:tab w:val="left" w:pos="1741"/>
              </w:tabs>
              <w:spacing w:before="60" w:after="60"/>
            </w:pPr>
            <w:r w:rsidRPr="00A01F81">
              <w:t xml:space="preserve">Dangerous Goods are solids, </w:t>
            </w:r>
            <w:proofErr w:type="gramStart"/>
            <w:r w:rsidRPr="00A01F81">
              <w:t>liquids</w:t>
            </w:r>
            <w:proofErr w:type="gramEnd"/>
            <w:r w:rsidRPr="00A01F81">
              <w:t xml:space="preserve"> or gases, which have been classified as dangerous under the Australian Code for the Transport of Dangerous Goods by Road or Rail, 7th Edition (ADG Code 7). </w:t>
            </w:r>
            <w:r w:rsidR="00BD6D22" w:rsidRPr="00AA617A">
              <w:t xml:space="preserve">Due to their physical properties that have the immediate potential to harm people, </w:t>
            </w:r>
            <w:proofErr w:type="gramStart"/>
            <w:r w:rsidR="00BD6D22" w:rsidRPr="00AA617A">
              <w:t>property</w:t>
            </w:r>
            <w:proofErr w:type="gramEnd"/>
            <w:r w:rsidR="00BD6D22" w:rsidRPr="00AA617A">
              <w:t xml:space="preserve"> or the environment.</w:t>
            </w:r>
          </w:p>
        </w:tc>
      </w:tr>
      <w:tr w:rsidR="0059373B" w14:paraId="618216B1" w14:textId="77777777" w:rsidTr="00A01F81">
        <w:tc>
          <w:tcPr>
            <w:tcW w:w="2263" w:type="dxa"/>
          </w:tcPr>
          <w:p w14:paraId="618216AE" w14:textId="77777777" w:rsidR="004E36E4" w:rsidRPr="00A01F81" w:rsidRDefault="00E9069F" w:rsidP="00810A86">
            <w:pPr>
              <w:spacing w:before="60" w:after="60"/>
              <w:jc w:val="left"/>
              <w:rPr>
                <w:b/>
              </w:rPr>
            </w:pPr>
            <w:r>
              <w:rPr>
                <w:b/>
              </w:rPr>
              <w:t>Decant</w:t>
            </w:r>
          </w:p>
        </w:tc>
        <w:tc>
          <w:tcPr>
            <w:tcW w:w="7230" w:type="dxa"/>
          </w:tcPr>
          <w:p w14:paraId="618216AF" w14:textId="77777777" w:rsidR="004E36E4" w:rsidRPr="00A711F1" w:rsidRDefault="00E9069F" w:rsidP="004E36E4">
            <w:pPr>
              <w:tabs>
                <w:tab w:val="num" w:pos="567"/>
              </w:tabs>
              <w:spacing w:before="120"/>
              <w:rPr>
                <w:rFonts w:eastAsiaTheme="minorEastAsia"/>
                <w:lang w:eastAsia="en-US"/>
              </w:rPr>
            </w:pPr>
            <w:r>
              <w:rPr>
                <w:rFonts w:eastAsiaTheme="minorEastAsia"/>
                <w:lang w:eastAsia="en-US"/>
              </w:rPr>
              <w:t>M</w:t>
            </w:r>
            <w:r w:rsidRPr="00E50582">
              <w:rPr>
                <w:rFonts w:eastAsiaTheme="minorEastAsia"/>
                <w:lang w:eastAsia="en-US"/>
              </w:rPr>
              <w:t>eans to transfer a hazardous chemical from a correctly labelled container to another container within a workplace. Such a container may range from a small flask in a research laboratory to a large vessel that is used to contain reaction components prior to use in a mixing or reaction process.</w:t>
            </w:r>
            <w:r w:rsidRPr="00A711F1">
              <w:rPr>
                <w:rFonts w:eastAsiaTheme="minorEastAsia"/>
                <w:lang w:eastAsia="en-US"/>
              </w:rPr>
              <w:t xml:space="preserve"> </w:t>
            </w:r>
          </w:p>
          <w:p w14:paraId="618216B0" w14:textId="77777777" w:rsidR="004E36E4" w:rsidRPr="00A01F81" w:rsidRDefault="004E36E4" w:rsidP="00810A86">
            <w:pPr>
              <w:tabs>
                <w:tab w:val="left" w:pos="1741"/>
              </w:tabs>
              <w:spacing w:before="60" w:after="60"/>
            </w:pPr>
          </w:p>
        </w:tc>
      </w:tr>
      <w:tr w:rsidR="0059373B" w14:paraId="618216B4" w14:textId="77777777" w:rsidTr="00A01F81">
        <w:tc>
          <w:tcPr>
            <w:tcW w:w="2263" w:type="dxa"/>
          </w:tcPr>
          <w:p w14:paraId="618216B2" w14:textId="77777777" w:rsidR="00810A86" w:rsidRPr="00A01F81" w:rsidRDefault="00E9069F" w:rsidP="00810A86">
            <w:pPr>
              <w:spacing w:before="60" w:after="60"/>
              <w:jc w:val="left"/>
              <w:rPr>
                <w:b/>
              </w:rPr>
            </w:pPr>
            <w:r w:rsidRPr="00A01F81">
              <w:rPr>
                <w:b/>
              </w:rPr>
              <w:t>Division</w:t>
            </w:r>
          </w:p>
        </w:tc>
        <w:tc>
          <w:tcPr>
            <w:tcW w:w="7230" w:type="dxa"/>
          </w:tcPr>
          <w:p w14:paraId="618216B3" w14:textId="77777777" w:rsidR="00810A86" w:rsidRPr="00A01F81" w:rsidRDefault="00E9069F" w:rsidP="00810A86">
            <w:pPr>
              <w:tabs>
                <w:tab w:val="left" w:pos="1741"/>
              </w:tabs>
              <w:spacing w:before="60" w:after="60"/>
            </w:pPr>
            <w:proofErr w:type="gramStart"/>
            <w:r w:rsidRPr="00A01F81">
              <w:t>Division of dangerous goods,</w:t>
            </w:r>
            <w:proofErr w:type="gramEnd"/>
            <w:r w:rsidRPr="00A01F81">
              <w:t xml:space="preserve"> means a number, in a class of dangerous goods, to which the dangerous goods are assigned in the ADG Code.</w:t>
            </w:r>
            <w:r w:rsidRPr="00A01F81">
              <w:tab/>
            </w:r>
          </w:p>
        </w:tc>
      </w:tr>
      <w:tr w:rsidR="0059373B" w14:paraId="618216BA" w14:textId="77777777" w:rsidTr="00A01F81">
        <w:tc>
          <w:tcPr>
            <w:tcW w:w="2263" w:type="dxa"/>
          </w:tcPr>
          <w:p w14:paraId="618216B5" w14:textId="77777777" w:rsidR="00810A86" w:rsidRPr="00A01F81" w:rsidRDefault="00E9069F" w:rsidP="00810A86">
            <w:pPr>
              <w:spacing w:before="60" w:after="60"/>
              <w:jc w:val="left"/>
              <w:rPr>
                <w:b/>
              </w:rPr>
            </w:pPr>
            <w:r w:rsidRPr="00A01F81">
              <w:rPr>
                <w:b/>
              </w:rPr>
              <w:t>Exposure standard</w:t>
            </w:r>
          </w:p>
        </w:tc>
        <w:tc>
          <w:tcPr>
            <w:tcW w:w="7230" w:type="dxa"/>
          </w:tcPr>
          <w:p w14:paraId="618216B6" w14:textId="77777777" w:rsidR="00810A86" w:rsidRPr="00A01F81" w:rsidRDefault="00E9069F" w:rsidP="00810A86">
            <w:pPr>
              <w:tabs>
                <w:tab w:val="left" w:pos="1741"/>
              </w:tabs>
              <w:spacing w:before="60" w:after="60"/>
            </w:pPr>
            <w:r w:rsidRPr="00A01F81">
              <w:t>Exposure standard represents the airborne concentration of a particular substance or mixture that must not be exceeded. The exposure standard can be of three forms:</w:t>
            </w:r>
          </w:p>
          <w:p w14:paraId="618216B7" w14:textId="77777777" w:rsidR="00810A86" w:rsidRPr="00A01F81" w:rsidRDefault="00E9069F" w:rsidP="00810A86">
            <w:pPr>
              <w:tabs>
                <w:tab w:val="left" w:pos="1741"/>
              </w:tabs>
              <w:spacing w:before="60" w:after="60"/>
            </w:pPr>
            <w:r w:rsidRPr="00A01F81">
              <w:t>• 8-hour time-weighted average</w:t>
            </w:r>
          </w:p>
          <w:p w14:paraId="618216B8" w14:textId="77777777" w:rsidR="00810A86" w:rsidRPr="00A01F81" w:rsidRDefault="00E9069F" w:rsidP="00810A86">
            <w:pPr>
              <w:tabs>
                <w:tab w:val="left" w:pos="1741"/>
              </w:tabs>
              <w:spacing w:before="60" w:after="60"/>
            </w:pPr>
            <w:r w:rsidRPr="00A01F81">
              <w:t>• peak limitation</w:t>
            </w:r>
          </w:p>
          <w:p w14:paraId="618216B9" w14:textId="77777777" w:rsidR="00810A86" w:rsidRPr="00A01F81" w:rsidRDefault="00E9069F" w:rsidP="00810A86">
            <w:pPr>
              <w:spacing w:before="60" w:after="60"/>
            </w:pPr>
            <w:r w:rsidRPr="00A01F81">
              <w:t>• short term exposure limit.</w:t>
            </w:r>
          </w:p>
        </w:tc>
      </w:tr>
      <w:tr w:rsidR="0059373B" w14:paraId="618216BD" w14:textId="77777777" w:rsidTr="00A01F81">
        <w:tc>
          <w:tcPr>
            <w:tcW w:w="2263" w:type="dxa"/>
          </w:tcPr>
          <w:p w14:paraId="618216BB" w14:textId="77777777" w:rsidR="00810A86" w:rsidRPr="00A01F81" w:rsidRDefault="00E9069F" w:rsidP="00810A86">
            <w:pPr>
              <w:spacing w:before="60" w:after="60"/>
              <w:jc w:val="left"/>
              <w:rPr>
                <w:b/>
              </w:rPr>
            </w:pPr>
            <w:r w:rsidRPr="00A01F81">
              <w:rPr>
                <w:b/>
              </w:rPr>
              <w:t>GHS</w:t>
            </w:r>
          </w:p>
        </w:tc>
        <w:tc>
          <w:tcPr>
            <w:tcW w:w="7230" w:type="dxa"/>
          </w:tcPr>
          <w:p w14:paraId="618216BC" w14:textId="77777777" w:rsidR="00810A86" w:rsidRPr="00A01F81" w:rsidRDefault="00E9069F" w:rsidP="00810A86">
            <w:pPr>
              <w:spacing w:before="60" w:after="60"/>
            </w:pPr>
            <w:r w:rsidRPr="00A01F81">
              <w:t>Means the ‘Globally Harmonized System of Classification and Labelling of Chemicals, 3rd Revised Edition’, published by the United Nations as modified under Schedule 6 of the WHS Regulations.</w:t>
            </w:r>
          </w:p>
        </w:tc>
      </w:tr>
      <w:tr w:rsidR="0059373B" w14:paraId="618216C0" w14:textId="77777777" w:rsidTr="00A01F81">
        <w:tc>
          <w:tcPr>
            <w:tcW w:w="2263" w:type="dxa"/>
          </w:tcPr>
          <w:p w14:paraId="618216BE" w14:textId="77777777" w:rsidR="00810A86" w:rsidRPr="00A01F81" w:rsidRDefault="00E9069F" w:rsidP="00810A86">
            <w:pPr>
              <w:spacing w:before="60" w:after="60"/>
              <w:jc w:val="left"/>
              <w:rPr>
                <w:b/>
              </w:rPr>
            </w:pPr>
            <w:r w:rsidRPr="00A01F81">
              <w:rPr>
                <w:b/>
              </w:rPr>
              <w:t>Hazardous substance</w:t>
            </w:r>
          </w:p>
        </w:tc>
        <w:tc>
          <w:tcPr>
            <w:tcW w:w="7230" w:type="dxa"/>
          </w:tcPr>
          <w:p w14:paraId="618216BF" w14:textId="77777777" w:rsidR="00810A86" w:rsidRPr="00A01F81" w:rsidRDefault="00E9069F" w:rsidP="00810A86">
            <w:pPr>
              <w:spacing w:before="60" w:after="60"/>
            </w:pPr>
            <w:r w:rsidRPr="00A01F81">
              <w:t>Is a substance that has the potential to cause acute or chronic health effects as listed in the List of Designated Hazardous Substances [NOHSC:10005 (1999)]</w:t>
            </w:r>
          </w:p>
        </w:tc>
      </w:tr>
      <w:tr w:rsidR="0059373B" w14:paraId="618216C3" w14:textId="77777777" w:rsidTr="00A01F81">
        <w:tc>
          <w:tcPr>
            <w:tcW w:w="2263" w:type="dxa"/>
          </w:tcPr>
          <w:p w14:paraId="618216C1" w14:textId="77777777" w:rsidR="00810A86" w:rsidRPr="00AA617A" w:rsidRDefault="00E9069F" w:rsidP="00810A86">
            <w:pPr>
              <w:spacing w:before="60" w:after="60"/>
              <w:jc w:val="left"/>
              <w:rPr>
                <w:b/>
              </w:rPr>
            </w:pPr>
            <w:r w:rsidRPr="00AA617A">
              <w:rPr>
                <w:b/>
              </w:rPr>
              <w:lastRenderedPageBreak/>
              <w:t>Hazardous Chemical</w:t>
            </w:r>
          </w:p>
        </w:tc>
        <w:tc>
          <w:tcPr>
            <w:tcW w:w="7230" w:type="dxa"/>
          </w:tcPr>
          <w:p w14:paraId="618216C2" w14:textId="77777777" w:rsidR="00810A86" w:rsidRPr="00A05E79" w:rsidRDefault="00E9069F" w:rsidP="00AA617A">
            <w:pPr>
              <w:spacing w:before="60" w:after="60"/>
              <w:rPr>
                <w:highlight w:val="yellow"/>
              </w:rPr>
            </w:pPr>
            <w:r>
              <w:t>A</w:t>
            </w:r>
            <w:r w:rsidR="00A05E79" w:rsidRPr="00AA617A">
              <w:t xml:space="preserve"> substance that has the potential to cause acute or chronic health effects, damage to property or environment</w:t>
            </w:r>
            <w:r>
              <w:t>.</w:t>
            </w:r>
            <w:r w:rsidR="00A05E79">
              <w:rPr>
                <w:highlight w:val="yellow"/>
              </w:rPr>
              <w:t xml:space="preserve"> </w:t>
            </w:r>
          </w:p>
        </w:tc>
      </w:tr>
      <w:tr w:rsidR="0059373B" w14:paraId="618216C6" w14:textId="77777777" w:rsidTr="00A01F81">
        <w:tc>
          <w:tcPr>
            <w:tcW w:w="2263" w:type="dxa"/>
          </w:tcPr>
          <w:p w14:paraId="618216C4" w14:textId="77777777" w:rsidR="00A05E79" w:rsidRPr="00A01F81" w:rsidRDefault="00E9069F" w:rsidP="00A05E79">
            <w:pPr>
              <w:spacing w:before="60" w:after="60"/>
              <w:jc w:val="left"/>
              <w:rPr>
                <w:b/>
              </w:rPr>
            </w:pPr>
            <w:r w:rsidRPr="00A01F81">
              <w:rPr>
                <w:b/>
              </w:rPr>
              <w:t>Hazard</w:t>
            </w:r>
          </w:p>
        </w:tc>
        <w:tc>
          <w:tcPr>
            <w:tcW w:w="7230" w:type="dxa"/>
          </w:tcPr>
          <w:p w14:paraId="618216C5" w14:textId="77777777" w:rsidR="00A05E79" w:rsidRPr="00A01F81" w:rsidRDefault="00E9069F" w:rsidP="00A05E79">
            <w:pPr>
              <w:spacing w:before="60" w:after="60"/>
            </w:pPr>
            <w:r w:rsidRPr="00A01F81">
              <w:t xml:space="preserve">Means a situation or thing that has the potential to harm people, </w:t>
            </w:r>
            <w:proofErr w:type="gramStart"/>
            <w:r w:rsidRPr="00A01F81">
              <w:t>property</w:t>
            </w:r>
            <w:proofErr w:type="gramEnd"/>
            <w:r w:rsidRPr="00A01F81">
              <w:t xml:space="preserve"> or the environment. The GHS covers physicochemical, health and environmental hazards for hazardous chemicals.</w:t>
            </w:r>
          </w:p>
        </w:tc>
      </w:tr>
      <w:tr w:rsidR="0059373B" w14:paraId="618216C9" w14:textId="77777777" w:rsidTr="00A01F81">
        <w:tc>
          <w:tcPr>
            <w:tcW w:w="2263" w:type="dxa"/>
          </w:tcPr>
          <w:p w14:paraId="618216C7" w14:textId="77777777" w:rsidR="00A05E79" w:rsidRPr="00A01F81" w:rsidRDefault="00E9069F" w:rsidP="00A05E79">
            <w:pPr>
              <w:spacing w:before="60" w:after="60"/>
              <w:jc w:val="left"/>
              <w:rPr>
                <w:b/>
              </w:rPr>
            </w:pPr>
            <w:r w:rsidRPr="00A01F81">
              <w:rPr>
                <w:b/>
              </w:rPr>
              <w:t>Hazard category</w:t>
            </w:r>
          </w:p>
        </w:tc>
        <w:tc>
          <w:tcPr>
            <w:tcW w:w="7230" w:type="dxa"/>
          </w:tcPr>
          <w:p w14:paraId="618216C8" w14:textId="77777777" w:rsidR="00A05E79" w:rsidRPr="00A01F81" w:rsidRDefault="00E9069F" w:rsidP="00A05E79">
            <w:pPr>
              <w:spacing w:before="60" w:after="60"/>
            </w:pPr>
            <w:r w:rsidRPr="00A01F81">
              <w:t>Means a division of criteria within a hazard class in the GHS.</w:t>
            </w:r>
          </w:p>
        </w:tc>
      </w:tr>
      <w:tr w:rsidR="0059373B" w14:paraId="618216CC" w14:textId="77777777" w:rsidTr="00A01F81">
        <w:tc>
          <w:tcPr>
            <w:tcW w:w="2263" w:type="dxa"/>
          </w:tcPr>
          <w:p w14:paraId="618216CA" w14:textId="77777777" w:rsidR="00A05E79" w:rsidRPr="00A01F81" w:rsidRDefault="00E9069F" w:rsidP="00A05E79">
            <w:pPr>
              <w:spacing w:before="60" w:after="60"/>
              <w:jc w:val="left"/>
              <w:rPr>
                <w:b/>
              </w:rPr>
            </w:pPr>
            <w:r w:rsidRPr="00A01F81">
              <w:rPr>
                <w:b/>
              </w:rPr>
              <w:t>Hazard class</w:t>
            </w:r>
          </w:p>
        </w:tc>
        <w:tc>
          <w:tcPr>
            <w:tcW w:w="7230" w:type="dxa"/>
          </w:tcPr>
          <w:p w14:paraId="618216CB" w14:textId="77777777" w:rsidR="00A05E79" w:rsidRPr="00A01F81" w:rsidRDefault="00E9069F" w:rsidP="00A05E79">
            <w:pPr>
              <w:spacing w:before="60" w:after="60"/>
            </w:pPr>
            <w:r w:rsidRPr="00A01F81">
              <w:t>Means the nature of a physical, health or environmental hazard under the GHS. Note: This includes dangerous goods.</w:t>
            </w:r>
          </w:p>
        </w:tc>
      </w:tr>
      <w:tr w:rsidR="0059373B" w14:paraId="618216CF" w14:textId="77777777" w:rsidTr="00A01F81">
        <w:tc>
          <w:tcPr>
            <w:tcW w:w="2263" w:type="dxa"/>
          </w:tcPr>
          <w:p w14:paraId="618216CD" w14:textId="77777777" w:rsidR="00A05E79" w:rsidRPr="00A01F81" w:rsidRDefault="00E9069F" w:rsidP="00A05E79">
            <w:pPr>
              <w:spacing w:before="60" w:after="60"/>
              <w:jc w:val="left"/>
              <w:rPr>
                <w:b/>
              </w:rPr>
            </w:pPr>
            <w:r w:rsidRPr="00A01F81">
              <w:rPr>
                <w:b/>
              </w:rPr>
              <w:t>Hazard pictogram</w:t>
            </w:r>
          </w:p>
        </w:tc>
        <w:tc>
          <w:tcPr>
            <w:tcW w:w="7230" w:type="dxa"/>
          </w:tcPr>
          <w:p w14:paraId="618216CE" w14:textId="77777777" w:rsidR="00A05E79" w:rsidRPr="00A01F81" w:rsidRDefault="00E9069F" w:rsidP="00A05E79">
            <w:pPr>
              <w:spacing w:before="60" w:after="60"/>
            </w:pPr>
            <w:r w:rsidRPr="00A01F81">
              <w:t>Means a graphical composition, including a symbol plus other graphical elements, that is assigned in the GHS to a hazard class or hazard category.</w:t>
            </w:r>
          </w:p>
        </w:tc>
      </w:tr>
      <w:tr w:rsidR="0059373B" w14:paraId="618216D2" w14:textId="77777777" w:rsidTr="00A01F81">
        <w:tc>
          <w:tcPr>
            <w:tcW w:w="2263" w:type="dxa"/>
          </w:tcPr>
          <w:p w14:paraId="618216D0" w14:textId="77777777" w:rsidR="00A05E79" w:rsidRPr="00A01F81" w:rsidRDefault="00E9069F" w:rsidP="00A05E79">
            <w:pPr>
              <w:spacing w:before="60" w:after="60"/>
              <w:jc w:val="left"/>
              <w:rPr>
                <w:b/>
              </w:rPr>
            </w:pPr>
            <w:r w:rsidRPr="00A01F81">
              <w:rPr>
                <w:b/>
              </w:rPr>
              <w:t>Hazard statement</w:t>
            </w:r>
          </w:p>
        </w:tc>
        <w:tc>
          <w:tcPr>
            <w:tcW w:w="7230" w:type="dxa"/>
          </w:tcPr>
          <w:p w14:paraId="618216D1" w14:textId="77777777" w:rsidR="00A05E79" w:rsidRPr="00A01F81" w:rsidRDefault="00E9069F" w:rsidP="00A05E79">
            <w:pPr>
              <w:spacing w:before="60" w:after="60"/>
            </w:pPr>
            <w:r w:rsidRPr="00A01F81">
              <w:t>Means a statement assigned in the GHS to a hazard class or hazard category describing the nature of the hazards of a hazardous chemical including, if appropriate, the degree of hazard.</w:t>
            </w:r>
          </w:p>
        </w:tc>
      </w:tr>
      <w:tr w:rsidR="0059373B" w14:paraId="618216D5" w14:textId="77777777" w:rsidTr="00A01F81">
        <w:tc>
          <w:tcPr>
            <w:tcW w:w="2263" w:type="dxa"/>
          </w:tcPr>
          <w:p w14:paraId="618216D3" w14:textId="77777777" w:rsidR="00A05E79" w:rsidRPr="00A01F81" w:rsidRDefault="00E9069F" w:rsidP="00A05E79">
            <w:pPr>
              <w:spacing w:before="60" w:after="60"/>
              <w:jc w:val="left"/>
              <w:rPr>
                <w:b/>
              </w:rPr>
            </w:pPr>
            <w:r w:rsidRPr="00A01F81">
              <w:rPr>
                <w:b/>
              </w:rPr>
              <w:t>Hazchem Code</w:t>
            </w:r>
          </w:p>
        </w:tc>
        <w:tc>
          <w:tcPr>
            <w:tcW w:w="7230" w:type="dxa"/>
          </w:tcPr>
          <w:p w14:paraId="618216D4" w14:textId="77777777" w:rsidR="00A05E79" w:rsidRPr="00A01F81" w:rsidRDefault="00E9069F" w:rsidP="00A05E79">
            <w:pPr>
              <w:tabs>
                <w:tab w:val="left" w:pos="927"/>
              </w:tabs>
              <w:spacing w:before="60" w:after="60"/>
            </w:pPr>
            <w:r w:rsidRPr="00A01F81">
              <w:t>Means ‘Hazchem Code’ under the ADG Code. Also known as the Emergency Action Code.</w:t>
            </w:r>
          </w:p>
        </w:tc>
      </w:tr>
      <w:tr w:rsidR="0059373B" w14:paraId="618216D8" w14:textId="77777777" w:rsidTr="00A01F81">
        <w:tc>
          <w:tcPr>
            <w:tcW w:w="2263" w:type="dxa"/>
          </w:tcPr>
          <w:p w14:paraId="618216D6" w14:textId="68293C59" w:rsidR="00A05E79" w:rsidRPr="00A01F81" w:rsidRDefault="00D653F4" w:rsidP="00A05E79">
            <w:pPr>
              <w:spacing w:before="60" w:after="60"/>
              <w:jc w:val="left"/>
              <w:rPr>
                <w:b/>
              </w:rPr>
            </w:pPr>
            <w:r>
              <w:rPr>
                <w:b/>
              </w:rPr>
              <w:t>H&amp;S</w:t>
            </w:r>
          </w:p>
        </w:tc>
        <w:tc>
          <w:tcPr>
            <w:tcW w:w="7230" w:type="dxa"/>
          </w:tcPr>
          <w:p w14:paraId="618216D7" w14:textId="574B7429" w:rsidR="00A05E79" w:rsidRPr="00A01F81" w:rsidRDefault="00E9069F" w:rsidP="00FF0EFE">
            <w:pPr>
              <w:tabs>
                <w:tab w:val="left" w:pos="927"/>
              </w:tabs>
              <w:spacing w:before="60" w:after="60"/>
            </w:pPr>
            <w:r w:rsidRPr="00A01F81">
              <w:t>Curtin University’s Health</w:t>
            </w:r>
            <w:r w:rsidR="00FF0EFE">
              <w:t xml:space="preserve"> </w:t>
            </w:r>
            <w:proofErr w:type="gramStart"/>
            <w:r w:rsidR="00FF0EFE">
              <w:t xml:space="preserve">and </w:t>
            </w:r>
            <w:r w:rsidRPr="00A01F81">
              <w:t xml:space="preserve"> Safety</w:t>
            </w:r>
            <w:proofErr w:type="gramEnd"/>
            <w:r w:rsidRPr="00A01F81">
              <w:t xml:space="preserve"> Department.</w:t>
            </w:r>
          </w:p>
        </w:tc>
      </w:tr>
      <w:tr w:rsidR="0059373B" w14:paraId="618216DB" w14:textId="77777777" w:rsidTr="00A01F81">
        <w:tc>
          <w:tcPr>
            <w:tcW w:w="2263" w:type="dxa"/>
          </w:tcPr>
          <w:p w14:paraId="618216D9" w14:textId="77777777" w:rsidR="00A05E79" w:rsidRPr="00A01F81" w:rsidRDefault="00E9069F" w:rsidP="00A05E79">
            <w:pPr>
              <w:spacing w:before="60" w:after="60"/>
              <w:jc w:val="left"/>
              <w:rPr>
                <w:b/>
              </w:rPr>
            </w:pPr>
            <w:r w:rsidRPr="00A01F81">
              <w:rPr>
                <w:b/>
              </w:rPr>
              <w:t>Label</w:t>
            </w:r>
          </w:p>
        </w:tc>
        <w:tc>
          <w:tcPr>
            <w:tcW w:w="7230" w:type="dxa"/>
          </w:tcPr>
          <w:p w14:paraId="618216DA" w14:textId="77777777" w:rsidR="00A05E79" w:rsidRPr="00A01F81" w:rsidRDefault="00E9069F" w:rsidP="00A05E79">
            <w:pPr>
              <w:tabs>
                <w:tab w:val="left" w:pos="927"/>
              </w:tabs>
              <w:spacing w:before="60" w:after="60"/>
            </w:pPr>
            <w:r w:rsidRPr="00A01F81">
              <w:t>Means written, printed or graphical information elements concerning a hazardous chemical that is affixed to, printed on, or attached to the container of a hazardous chemical.</w:t>
            </w:r>
            <w:r w:rsidRPr="00A01F81">
              <w:tab/>
            </w:r>
          </w:p>
        </w:tc>
      </w:tr>
      <w:tr w:rsidR="0059373B" w14:paraId="618216DE" w14:textId="77777777" w:rsidTr="00A01F81">
        <w:tc>
          <w:tcPr>
            <w:tcW w:w="2263" w:type="dxa"/>
          </w:tcPr>
          <w:p w14:paraId="618216DC" w14:textId="77777777" w:rsidR="00A05E79" w:rsidRPr="00A01F81" w:rsidRDefault="00E9069F" w:rsidP="00A05E79">
            <w:pPr>
              <w:spacing w:before="60" w:after="60"/>
              <w:jc w:val="left"/>
              <w:rPr>
                <w:b/>
              </w:rPr>
            </w:pPr>
            <w:r w:rsidRPr="00A01F81">
              <w:rPr>
                <w:b/>
              </w:rPr>
              <w:t>Laboratory</w:t>
            </w:r>
          </w:p>
        </w:tc>
        <w:tc>
          <w:tcPr>
            <w:tcW w:w="7230" w:type="dxa"/>
          </w:tcPr>
          <w:p w14:paraId="618216DD" w14:textId="77777777" w:rsidR="00A05E79" w:rsidRPr="00A01F81" w:rsidRDefault="00E9069F" w:rsidP="00A05E79">
            <w:pPr>
              <w:tabs>
                <w:tab w:val="left" w:pos="927"/>
              </w:tabs>
              <w:spacing w:before="60" w:after="60"/>
            </w:pPr>
            <w:r w:rsidRPr="00A01F81">
              <w:t xml:space="preserve">Means a building or room equipped for analysis, genuine </w:t>
            </w:r>
            <w:proofErr w:type="gramStart"/>
            <w:r w:rsidRPr="00A01F81">
              <w:t>research</w:t>
            </w:r>
            <w:proofErr w:type="gramEnd"/>
            <w:r w:rsidRPr="00A01F81">
              <w:t xml:space="preserve"> or practical teaching, and which is not used for production purposes.</w:t>
            </w:r>
          </w:p>
        </w:tc>
      </w:tr>
      <w:tr w:rsidR="0059373B" w14:paraId="618216E1" w14:textId="77777777" w:rsidTr="00A01F81">
        <w:tc>
          <w:tcPr>
            <w:tcW w:w="2263" w:type="dxa"/>
          </w:tcPr>
          <w:p w14:paraId="618216DF" w14:textId="77777777" w:rsidR="00A05E79" w:rsidRPr="00A01F81" w:rsidRDefault="00E9069F" w:rsidP="00A05E79">
            <w:pPr>
              <w:spacing w:before="60" w:after="60"/>
              <w:jc w:val="left"/>
              <w:rPr>
                <w:b/>
              </w:rPr>
            </w:pPr>
            <w:r w:rsidRPr="00A01F81">
              <w:rPr>
                <w:b/>
              </w:rPr>
              <w:t>Manufacture</w:t>
            </w:r>
          </w:p>
        </w:tc>
        <w:tc>
          <w:tcPr>
            <w:tcW w:w="7230" w:type="dxa"/>
          </w:tcPr>
          <w:p w14:paraId="618216E0" w14:textId="77777777" w:rsidR="00A05E79" w:rsidRPr="00A01F81" w:rsidRDefault="00E9069F" w:rsidP="00A05E79">
            <w:pPr>
              <w:tabs>
                <w:tab w:val="left" w:pos="927"/>
              </w:tabs>
              <w:spacing w:before="60" w:after="60"/>
            </w:pPr>
            <w:r w:rsidRPr="00A01F81">
              <w:t xml:space="preserve">Includes the activities of packing, repacking, formulating, blending, mixing, making, </w:t>
            </w:r>
            <w:proofErr w:type="gramStart"/>
            <w:r w:rsidRPr="00A01F81">
              <w:t>remaking</w:t>
            </w:r>
            <w:proofErr w:type="gramEnd"/>
            <w:r w:rsidRPr="00A01F81">
              <w:t xml:space="preserve"> and synthesizing of the chemical.</w:t>
            </w:r>
          </w:p>
        </w:tc>
      </w:tr>
      <w:tr w:rsidR="0059373B" w14:paraId="618216E4" w14:textId="77777777" w:rsidTr="00A01F81">
        <w:tc>
          <w:tcPr>
            <w:tcW w:w="2263" w:type="dxa"/>
          </w:tcPr>
          <w:p w14:paraId="618216E2" w14:textId="77777777" w:rsidR="00A05E79" w:rsidRPr="00A01F81" w:rsidRDefault="00E9069F" w:rsidP="00A05E79">
            <w:pPr>
              <w:spacing w:before="60" w:after="60"/>
              <w:jc w:val="left"/>
              <w:rPr>
                <w:b/>
              </w:rPr>
            </w:pPr>
            <w:r w:rsidRPr="00A01F81">
              <w:rPr>
                <w:b/>
              </w:rPr>
              <w:t>Mixture</w:t>
            </w:r>
          </w:p>
        </w:tc>
        <w:tc>
          <w:tcPr>
            <w:tcW w:w="7230" w:type="dxa"/>
          </w:tcPr>
          <w:p w14:paraId="618216E3" w14:textId="77777777" w:rsidR="00A05E79" w:rsidRPr="00A01F81" w:rsidRDefault="00E9069F" w:rsidP="00A05E79">
            <w:pPr>
              <w:tabs>
                <w:tab w:val="left" w:pos="927"/>
              </w:tabs>
              <w:spacing w:before="60" w:after="60"/>
            </w:pPr>
            <w:r w:rsidRPr="00A01F81">
              <w:t>Means a combination of, or a solution composed of, two or more substances that do not react with each other.</w:t>
            </w:r>
          </w:p>
        </w:tc>
      </w:tr>
      <w:tr w:rsidR="0059373B" w14:paraId="618216E9" w14:textId="77777777" w:rsidTr="00A01F81">
        <w:tc>
          <w:tcPr>
            <w:tcW w:w="2263" w:type="dxa"/>
          </w:tcPr>
          <w:p w14:paraId="618216E5" w14:textId="77777777" w:rsidR="00A05E79" w:rsidRPr="00A01F81" w:rsidRDefault="00E9069F" w:rsidP="00A05E79">
            <w:pPr>
              <w:spacing w:before="60" w:after="60"/>
              <w:jc w:val="left"/>
              <w:rPr>
                <w:b/>
              </w:rPr>
            </w:pPr>
            <w:r w:rsidRPr="00A01F81">
              <w:rPr>
                <w:b/>
              </w:rPr>
              <w:t>Placard</w:t>
            </w:r>
          </w:p>
        </w:tc>
        <w:tc>
          <w:tcPr>
            <w:tcW w:w="7230" w:type="dxa"/>
          </w:tcPr>
          <w:p w14:paraId="618216E6" w14:textId="77777777" w:rsidR="00A05E79" w:rsidRPr="00A01F81" w:rsidRDefault="00E9069F" w:rsidP="00A05E79">
            <w:pPr>
              <w:tabs>
                <w:tab w:val="left" w:pos="927"/>
              </w:tabs>
              <w:spacing w:before="60" w:after="60"/>
            </w:pPr>
            <w:r w:rsidRPr="00A01F81">
              <w:t>means a sign or notice:</w:t>
            </w:r>
          </w:p>
          <w:p w14:paraId="618216E7" w14:textId="77777777" w:rsidR="00A05E79" w:rsidRPr="00A01F81" w:rsidRDefault="00E9069F" w:rsidP="00A05E79">
            <w:pPr>
              <w:tabs>
                <w:tab w:val="left" w:pos="927"/>
              </w:tabs>
              <w:spacing w:before="60" w:after="60"/>
            </w:pPr>
            <w:r w:rsidRPr="00A01F81">
              <w:t>a) displayed or intended for display in a prominent place, or next to a container or storage area for hazardous chemicals at a workplace</w:t>
            </w:r>
          </w:p>
          <w:p w14:paraId="618216E8" w14:textId="77777777" w:rsidR="00A05E79" w:rsidRPr="00A01F81" w:rsidRDefault="00E9069F" w:rsidP="00A05E79">
            <w:pPr>
              <w:spacing w:before="60" w:after="60"/>
            </w:pPr>
            <w:r w:rsidRPr="00A01F81">
              <w:t>b) that contains information about the hazardous chemical stored in the container or storage area.</w:t>
            </w:r>
          </w:p>
        </w:tc>
      </w:tr>
      <w:tr w:rsidR="0059373B" w14:paraId="618216EC" w14:textId="77777777" w:rsidTr="00A01F81">
        <w:tc>
          <w:tcPr>
            <w:tcW w:w="2263" w:type="dxa"/>
          </w:tcPr>
          <w:p w14:paraId="618216EA" w14:textId="77777777" w:rsidR="00A05E79" w:rsidRPr="00A01F81" w:rsidRDefault="00E9069F" w:rsidP="00A05E79">
            <w:pPr>
              <w:spacing w:before="60" w:after="60"/>
              <w:jc w:val="left"/>
              <w:rPr>
                <w:b/>
              </w:rPr>
            </w:pPr>
            <w:r w:rsidRPr="00A01F81">
              <w:rPr>
                <w:b/>
              </w:rPr>
              <w:t>Placard quantity</w:t>
            </w:r>
          </w:p>
        </w:tc>
        <w:tc>
          <w:tcPr>
            <w:tcW w:w="7230" w:type="dxa"/>
          </w:tcPr>
          <w:p w14:paraId="618216EB" w14:textId="3732F9CF" w:rsidR="00A05E79" w:rsidRPr="00A01F81" w:rsidRDefault="00E9069F" w:rsidP="003A782C">
            <w:pPr>
              <w:keepLines w:val="0"/>
              <w:autoSpaceDE w:val="0"/>
              <w:autoSpaceDN w:val="0"/>
              <w:adjustRightInd w:val="0"/>
              <w:spacing w:before="0" w:after="0"/>
              <w:jc w:val="left"/>
            </w:pPr>
            <w:r w:rsidRPr="00A01F81">
              <w:t xml:space="preserve">Means the quantity referred to in Schedule 1 of the </w:t>
            </w:r>
            <w:r w:rsidR="00BE2FF4" w:rsidRPr="00611FF2">
              <w:rPr>
                <w:rFonts w:ascii="TT3C75o00" w:eastAsia="Times" w:hAnsi="TT3C75o00" w:cs="TT3C75o00"/>
              </w:rPr>
              <w:t>Dangerous Goods Safety (Storage and Handling of Non-explosives)</w:t>
            </w:r>
            <w:r w:rsidR="00BE2FF4" w:rsidRPr="00E47F62">
              <w:rPr>
                <w:rFonts w:ascii="TT3C75o00" w:eastAsia="Times" w:hAnsi="TT3C75o00" w:cs="TT3C75o00"/>
              </w:rPr>
              <w:t xml:space="preserve"> Regulations 2007</w:t>
            </w:r>
            <w:r w:rsidRPr="00A01F81">
              <w:t xml:space="preserve">. Note: This schedule has been </w:t>
            </w:r>
            <w:r w:rsidR="00D10922">
              <w:t>reproduced</w:t>
            </w:r>
            <w:r w:rsidRPr="00A01F81">
              <w:t xml:space="preserve"> in </w:t>
            </w:r>
            <w:r w:rsidR="00760388">
              <w:t>Properties, Facilities</w:t>
            </w:r>
            <w:r w:rsidR="00760388" w:rsidRPr="00A01F81">
              <w:t xml:space="preserve"> </w:t>
            </w:r>
            <w:r w:rsidR="00760388">
              <w:t xml:space="preserve">&amp; Development’s document </w:t>
            </w:r>
            <w:hyperlink r:id="rId14" w:history="1">
              <w:r w:rsidR="00BE2FF4" w:rsidRPr="00760388">
                <w:rPr>
                  <w:rStyle w:val="Hyperlink"/>
                </w:rPr>
                <w:t>Guidance for the Storage of Chemicals</w:t>
              </w:r>
            </w:hyperlink>
            <w:r w:rsidR="00BE2FF4">
              <w:t xml:space="preserve"> accessed under the</w:t>
            </w:r>
            <w:r w:rsidR="00760388">
              <w:t>ir</w:t>
            </w:r>
            <w:r w:rsidR="00BE2FF4">
              <w:t xml:space="preserve"> </w:t>
            </w:r>
            <w:hyperlink r:id="rId15" w:history="1">
              <w:r w:rsidR="00BE2FF4" w:rsidRPr="00D10922">
                <w:rPr>
                  <w:rStyle w:val="Hyperlink"/>
                </w:rPr>
                <w:t>Guidelines</w:t>
              </w:r>
            </w:hyperlink>
            <w:r w:rsidR="00BE2FF4">
              <w:t xml:space="preserve"> </w:t>
            </w:r>
            <w:r w:rsidR="00760388">
              <w:t>webpage</w:t>
            </w:r>
            <w:r w:rsidRPr="00A01F81">
              <w:t>.</w:t>
            </w:r>
          </w:p>
        </w:tc>
      </w:tr>
      <w:tr w:rsidR="0059373B" w14:paraId="618216EF" w14:textId="77777777" w:rsidTr="00A01F81">
        <w:tc>
          <w:tcPr>
            <w:tcW w:w="2263" w:type="dxa"/>
          </w:tcPr>
          <w:p w14:paraId="618216ED" w14:textId="77777777" w:rsidR="00A05E79" w:rsidRPr="00A01F81" w:rsidRDefault="00E9069F" w:rsidP="00A05E79">
            <w:pPr>
              <w:spacing w:before="60" w:after="60"/>
              <w:jc w:val="left"/>
              <w:rPr>
                <w:b/>
              </w:rPr>
            </w:pPr>
            <w:r w:rsidRPr="00A01F81">
              <w:rPr>
                <w:b/>
              </w:rPr>
              <w:t>PPE</w:t>
            </w:r>
          </w:p>
        </w:tc>
        <w:tc>
          <w:tcPr>
            <w:tcW w:w="7230" w:type="dxa"/>
          </w:tcPr>
          <w:p w14:paraId="618216EE" w14:textId="77777777" w:rsidR="00A05E79" w:rsidRPr="00A01F81" w:rsidRDefault="00E9069F" w:rsidP="00A05E79">
            <w:pPr>
              <w:spacing w:before="60" w:after="60"/>
            </w:pPr>
            <w:r w:rsidRPr="00A01F81">
              <w:t>Personal protective equipment</w:t>
            </w:r>
          </w:p>
        </w:tc>
      </w:tr>
      <w:tr w:rsidR="0059373B" w14:paraId="618216F2" w14:textId="77777777" w:rsidTr="00A01F81">
        <w:tc>
          <w:tcPr>
            <w:tcW w:w="2263" w:type="dxa"/>
          </w:tcPr>
          <w:p w14:paraId="618216F0" w14:textId="77777777" w:rsidR="00A05E79" w:rsidRPr="00A01F81" w:rsidRDefault="00E9069F" w:rsidP="00A05E79">
            <w:pPr>
              <w:spacing w:before="60" w:after="60"/>
              <w:jc w:val="left"/>
              <w:rPr>
                <w:b/>
              </w:rPr>
            </w:pPr>
            <w:r w:rsidRPr="00A01F81">
              <w:rPr>
                <w:b/>
              </w:rPr>
              <w:t>Product identifier</w:t>
            </w:r>
          </w:p>
        </w:tc>
        <w:tc>
          <w:tcPr>
            <w:tcW w:w="7230" w:type="dxa"/>
          </w:tcPr>
          <w:p w14:paraId="618216F1" w14:textId="77777777" w:rsidR="00A05E79" w:rsidRPr="00A01F81" w:rsidRDefault="00E9069F" w:rsidP="00A05E79">
            <w:pPr>
              <w:spacing w:before="60" w:after="60"/>
            </w:pPr>
            <w:r w:rsidRPr="00A01F81">
              <w:t>Means the name or number used to identify a product on a label or in a safety data sheet.</w:t>
            </w:r>
          </w:p>
        </w:tc>
      </w:tr>
      <w:tr w:rsidR="0059373B" w14:paraId="618216F5" w14:textId="77777777" w:rsidTr="00A01F81">
        <w:tc>
          <w:tcPr>
            <w:tcW w:w="2263" w:type="dxa"/>
          </w:tcPr>
          <w:p w14:paraId="618216F3" w14:textId="77777777" w:rsidR="00A05E79" w:rsidRPr="00A01F81" w:rsidRDefault="00E9069F" w:rsidP="00A05E79">
            <w:pPr>
              <w:spacing w:before="60" w:after="60"/>
              <w:jc w:val="left"/>
              <w:rPr>
                <w:b/>
              </w:rPr>
            </w:pPr>
            <w:r w:rsidRPr="00A01F81">
              <w:rPr>
                <w:b/>
              </w:rPr>
              <w:t>Regulated Waste</w:t>
            </w:r>
          </w:p>
        </w:tc>
        <w:tc>
          <w:tcPr>
            <w:tcW w:w="7230" w:type="dxa"/>
          </w:tcPr>
          <w:p w14:paraId="618216F4" w14:textId="77777777" w:rsidR="00A05E79" w:rsidRPr="00A01F81" w:rsidRDefault="00E9069F" w:rsidP="00A05E79">
            <w:pPr>
              <w:spacing w:before="60" w:after="60"/>
            </w:pPr>
            <w:r w:rsidRPr="00A01F81">
              <w:t>Includes trackable waste and means non-domestic waste mentioned in Hazardous Waste Data Assessment (Department of Sustainability, Environment, Water, Population and Communities April 2013) (whether or not it has been treated or immobilised</w:t>
            </w:r>
            <w:proofErr w:type="gramStart"/>
            <w:r w:rsidRPr="00A01F81">
              <w:t>), and</w:t>
            </w:r>
            <w:proofErr w:type="gramEnd"/>
            <w:r w:rsidRPr="00A01F81">
              <w:t xml:space="preserve"> includes: for an element – any chemical compound containing the element; and anything that has contained the waste.</w:t>
            </w:r>
          </w:p>
        </w:tc>
      </w:tr>
      <w:tr w:rsidR="0059373B" w14:paraId="618216F8" w14:textId="77777777" w:rsidTr="00A01F81">
        <w:tc>
          <w:tcPr>
            <w:tcW w:w="2263" w:type="dxa"/>
          </w:tcPr>
          <w:p w14:paraId="618216F6" w14:textId="77777777" w:rsidR="00A05E79" w:rsidRPr="00A01F81" w:rsidRDefault="00E9069F" w:rsidP="00A05E79">
            <w:pPr>
              <w:spacing w:before="60" w:after="60"/>
              <w:jc w:val="left"/>
              <w:rPr>
                <w:b/>
              </w:rPr>
            </w:pPr>
            <w:r w:rsidRPr="00A01F81">
              <w:rPr>
                <w:b/>
              </w:rPr>
              <w:t>Research chemical</w:t>
            </w:r>
          </w:p>
        </w:tc>
        <w:tc>
          <w:tcPr>
            <w:tcW w:w="7230" w:type="dxa"/>
          </w:tcPr>
          <w:p w14:paraId="618216F7" w14:textId="77777777" w:rsidR="00A05E79" w:rsidRPr="00A01F81" w:rsidRDefault="00E9069F" w:rsidP="00A05E79">
            <w:pPr>
              <w:spacing w:before="60" w:after="60"/>
            </w:pPr>
            <w:r w:rsidRPr="00A01F81">
              <w:t>Means a substance or mixture that is manufactured in a laboratory for genuine research and is not for use or supply for a purpose other than analysis or genuine research.</w:t>
            </w:r>
          </w:p>
        </w:tc>
      </w:tr>
      <w:tr w:rsidR="0059373B" w14:paraId="618216FB" w14:textId="77777777" w:rsidTr="00A01F81">
        <w:tc>
          <w:tcPr>
            <w:tcW w:w="2263" w:type="dxa"/>
          </w:tcPr>
          <w:p w14:paraId="618216F9" w14:textId="77777777" w:rsidR="00A05E79" w:rsidRPr="00A01F81" w:rsidRDefault="00E9069F" w:rsidP="00A05E79">
            <w:pPr>
              <w:spacing w:before="60" w:after="60"/>
              <w:jc w:val="left"/>
              <w:rPr>
                <w:b/>
              </w:rPr>
            </w:pPr>
            <w:r w:rsidRPr="00A01F81">
              <w:rPr>
                <w:b/>
              </w:rPr>
              <w:t>Risk</w:t>
            </w:r>
          </w:p>
        </w:tc>
        <w:tc>
          <w:tcPr>
            <w:tcW w:w="7230" w:type="dxa"/>
          </w:tcPr>
          <w:p w14:paraId="618216FA" w14:textId="77777777" w:rsidR="00A05E79" w:rsidRPr="00A01F81" w:rsidRDefault="00E9069F" w:rsidP="00A05E79">
            <w:pPr>
              <w:spacing w:before="60" w:after="60"/>
            </w:pPr>
            <w:r w:rsidRPr="00A01F81">
              <w:rPr>
                <w:rFonts w:eastAsia="MS Mincho" w:cs="Arial"/>
                <w:lang w:eastAsia="ja-JP"/>
              </w:rPr>
              <w:t>The likelihood that a substance will cause harm in the circumstances of its use.</w:t>
            </w:r>
          </w:p>
        </w:tc>
      </w:tr>
      <w:tr w:rsidR="0059373B" w14:paraId="618216FE" w14:textId="77777777" w:rsidTr="00A01F81">
        <w:tc>
          <w:tcPr>
            <w:tcW w:w="2263" w:type="dxa"/>
          </w:tcPr>
          <w:p w14:paraId="618216FC" w14:textId="77777777" w:rsidR="00A05E79" w:rsidRPr="00A01F81" w:rsidRDefault="00E9069F" w:rsidP="00A05E79">
            <w:pPr>
              <w:spacing w:before="60" w:after="60"/>
              <w:jc w:val="left"/>
              <w:rPr>
                <w:b/>
              </w:rPr>
            </w:pPr>
            <w:r w:rsidRPr="00A01F81">
              <w:rPr>
                <w:b/>
              </w:rPr>
              <w:t>Safety Data Sheet (SDS)</w:t>
            </w:r>
          </w:p>
        </w:tc>
        <w:tc>
          <w:tcPr>
            <w:tcW w:w="7230" w:type="dxa"/>
          </w:tcPr>
          <w:p w14:paraId="618216FD" w14:textId="77777777" w:rsidR="00A05E79" w:rsidRPr="00A01F81" w:rsidRDefault="00E9069F" w:rsidP="00A05E79">
            <w:pPr>
              <w:spacing w:before="60" w:after="60"/>
            </w:pPr>
            <w:r>
              <w:t>A</w:t>
            </w:r>
            <w:r w:rsidRPr="00A01F81">
              <w:t xml:space="preserve"> document prepared by a manufacturer or importer of chemicals, which describes the use, chemical and physical properties, health hazard information, precautions for use, safe handling information and the emergency information.</w:t>
            </w:r>
          </w:p>
        </w:tc>
      </w:tr>
      <w:tr w:rsidR="0059373B" w14:paraId="61821703" w14:textId="77777777" w:rsidTr="00A01F81">
        <w:tc>
          <w:tcPr>
            <w:tcW w:w="2263" w:type="dxa"/>
          </w:tcPr>
          <w:p w14:paraId="618216FF" w14:textId="77777777" w:rsidR="00A05E79" w:rsidRPr="00A01F81" w:rsidRDefault="00E9069F" w:rsidP="00A05E79">
            <w:pPr>
              <w:spacing w:before="60" w:after="60"/>
              <w:jc w:val="left"/>
              <w:rPr>
                <w:b/>
              </w:rPr>
            </w:pPr>
            <w:r w:rsidRPr="00A01F81">
              <w:rPr>
                <w:b/>
              </w:rPr>
              <w:lastRenderedPageBreak/>
              <w:t>Substance</w:t>
            </w:r>
          </w:p>
        </w:tc>
        <w:tc>
          <w:tcPr>
            <w:tcW w:w="7230" w:type="dxa"/>
          </w:tcPr>
          <w:p w14:paraId="61821700" w14:textId="77777777" w:rsidR="00A05E79" w:rsidRPr="00A01F81" w:rsidRDefault="00E9069F" w:rsidP="00A05E79">
            <w:pPr>
              <w:spacing w:before="60" w:after="60"/>
            </w:pPr>
            <w:r w:rsidRPr="00A01F81">
              <w:t xml:space="preserve">means a chemical element or compound in its natural state or obtained or generated by a process: </w:t>
            </w:r>
          </w:p>
          <w:p w14:paraId="61821701" w14:textId="77777777" w:rsidR="00A05E79" w:rsidRPr="00A01F81" w:rsidRDefault="00E9069F" w:rsidP="00A05E79">
            <w:pPr>
              <w:spacing w:before="60" w:after="60"/>
            </w:pPr>
            <w:r w:rsidRPr="00A01F81">
              <w:t xml:space="preserve">• including any additive necessary to preserve the stability of the element or compound and any impurities deriving from the process, but </w:t>
            </w:r>
          </w:p>
          <w:p w14:paraId="61821702" w14:textId="77777777" w:rsidR="00A05E79" w:rsidRPr="00A01F81" w:rsidRDefault="00E9069F" w:rsidP="00A05E79">
            <w:pPr>
              <w:spacing w:before="60" w:after="60"/>
            </w:pPr>
            <w:r w:rsidRPr="00A01F81">
              <w:t xml:space="preserve">• excluding any solvent that may be separated without affecting the stability of the element or </w:t>
            </w:r>
            <w:proofErr w:type="gramStart"/>
            <w:r w:rsidRPr="00A01F81">
              <w:t>compound, or</w:t>
            </w:r>
            <w:proofErr w:type="gramEnd"/>
            <w:r w:rsidRPr="00A01F81">
              <w:t xml:space="preserve"> changing its composition.</w:t>
            </w:r>
          </w:p>
        </w:tc>
      </w:tr>
      <w:tr w:rsidR="0059373B" w14:paraId="61821706" w14:textId="77777777" w:rsidTr="00A01F81">
        <w:tc>
          <w:tcPr>
            <w:tcW w:w="2263" w:type="dxa"/>
          </w:tcPr>
          <w:p w14:paraId="61821704" w14:textId="77777777" w:rsidR="00A05E79" w:rsidRPr="00A01F81" w:rsidRDefault="00E9069F" w:rsidP="00A05E79">
            <w:pPr>
              <w:spacing w:before="60" w:after="60"/>
              <w:jc w:val="left"/>
              <w:rPr>
                <w:b/>
              </w:rPr>
            </w:pPr>
            <w:r w:rsidRPr="00A01F81">
              <w:rPr>
                <w:b/>
              </w:rPr>
              <w:t>SUSMP</w:t>
            </w:r>
          </w:p>
        </w:tc>
        <w:tc>
          <w:tcPr>
            <w:tcW w:w="7230" w:type="dxa"/>
          </w:tcPr>
          <w:p w14:paraId="61821705" w14:textId="77777777" w:rsidR="00A05E79" w:rsidRPr="00A01F81" w:rsidRDefault="00E9069F" w:rsidP="00A05E79">
            <w:pPr>
              <w:spacing w:before="60" w:after="60"/>
            </w:pPr>
            <w:r w:rsidRPr="00A01F81">
              <w:t>Means the Standard for the Uniform Scheduling of Medicines and Poisons, published by the National Drugs and Poisons Schedule Committee as amended from time to time.</w:t>
            </w:r>
          </w:p>
        </w:tc>
      </w:tr>
      <w:tr w:rsidR="0059373B" w14:paraId="61821709" w14:textId="77777777" w:rsidTr="00A01F81">
        <w:tc>
          <w:tcPr>
            <w:tcW w:w="2263" w:type="dxa"/>
          </w:tcPr>
          <w:p w14:paraId="61821707" w14:textId="77777777" w:rsidR="00A05E79" w:rsidRPr="00A01F81" w:rsidRDefault="00E9069F" w:rsidP="00A05E79">
            <w:pPr>
              <w:spacing w:before="60" w:after="60"/>
              <w:jc w:val="left"/>
              <w:rPr>
                <w:b/>
              </w:rPr>
            </w:pPr>
            <w:r w:rsidRPr="00A01F81">
              <w:rPr>
                <w:b/>
              </w:rPr>
              <w:t>Spillage</w:t>
            </w:r>
          </w:p>
        </w:tc>
        <w:tc>
          <w:tcPr>
            <w:tcW w:w="7230" w:type="dxa"/>
          </w:tcPr>
          <w:p w14:paraId="61821708" w14:textId="77777777" w:rsidR="00A05E79" w:rsidRPr="00A01F81" w:rsidRDefault="00E9069F" w:rsidP="00A05E79">
            <w:pPr>
              <w:spacing w:before="60" w:after="60"/>
            </w:pPr>
            <w:r w:rsidRPr="00A01F81">
              <w:t>The loss containment. An uncontrolled release of a substance outside its container.</w:t>
            </w:r>
          </w:p>
        </w:tc>
      </w:tr>
      <w:tr w:rsidR="0059373B" w14:paraId="6182170C" w14:textId="77777777" w:rsidTr="00A01F81">
        <w:tc>
          <w:tcPr>
            <w:tcW w:w="2263" w:type="dxa"/>
          </w:tcPr>
          <w:p w14:paraId="6182170A" w14:textId="77777777" w:rsidR="00A05E79" w:rsidRPr="00A01F81" w:rsidRDefault="00E9069F" w:rsidP="00A05E79">
            <w:pPr>
              <w:spacing w:before="60" w:after="60"/>
              <w:jc w:val="left"/>
              <w:rPr>
                <w:b/>
              </w:rPr>
            </w:pPr>
            <w:r w:rsidRPr="00A01F81">
              <w:rPr>
                <w:b/>
              </w:rPr>
              <w:t xml:space="preserve">Transfer </w:t>
            </w:r>
          </w:p>
        </w:tc>
        <w:tc>
          <w:tcPr>
            <w:tcW w:w="7230" w:type="dxa"/>
          </w:tcPr>
          <w:p w14:paraId="6182170B" w14:textId="77777777" w:rsidR="00A05E79" w:rsidRPr="00A01F81" w:rsidRDefault="00E9069F" w:rsidP="00A05E79">
            <w:pPr>
              <w:spacing w:before="60" w:after="60"/>
            </w:pPr>
            <w:r w:rsidRPr="00A01F81">
              <w:t xml:space="preserve">Includes the pumping, </w:t>
            </w:r>
            <w:proofErr w:type="gramStart"/>
            <w:r w:rsidRPr="00A01F81">
              <w:t>dispensing</w:t>
            </w:r>
            <w:proofErr w:type="gramEnd"/>
            <w:r w:rsidRPr="00A01F81">
              <w:t xml:space="preserve"> or decanting from one container into another or from one place to another.</w:t>
            </w:r>
          </w:p>
        </w:tc>
      </w:tr>
      <w:tr w:rsidR="0059373B" w14:paraId="6182170F" w14:textId="77777777" w:rsidTr="00A01F81">
        <w:tc>
          <w:tcPr>
            <w:tcW w:w="2263" w:type="dxa"/>
          </w:tcPr>
          <w:p w14:paraId="6182170D" w14:textId="77777777" w:rsidR="00327A38" w:rsidRPr="00A01F81" w:rsidRDefault="00E9069F" w:rsidP="00A05E79">
            <w:pPr>
              <w:spacing w:before="60" w:after="60"/>
              <w:jc w:val="left"/>
              <w:rPr>
                <w:b/>
              </w:rPr>
            </w:pPr>
            <w:r>
              <w:rPr>
                <w:b/>
              </w:rPr>
              <w:t>WHS</w:t>
            </w:r>
          </w:p>
        </w:tc>
        <w:tc>
          <w:tcPr>
            <w:tcW w:w="7230" w:type="dxa"/>
          </w:tcPr>
          <w:p w14:paraId="6182170E" w14:textId="77777777" w:rsidR="00327A38" w:rsidRPr="00A01F81" w:rsidRDefault="00E9069F" w:rsidP="0076713E">
            <w:pPr>
              <w:spacing w:before="60" w:after="60"/>
            </w:pPr>
            <w:r>
              <w:t>Refers to the m</w:t>
            </w:r>
            <w:r w:rsidRPr="00FB52B3">
              <w:t>odel Work Health and Safety Act</w:t>
            </w:r>
            <w:r>
              <w:t xml:space="preserve"> </w:t>
            </w:r>
            <w:r w:rsidR="0076713E">
              <w:t>developed to harmonise Australia’s various State/Territory workplace health and safety laws</w:t>
            </w:r>
            <w:r>
              <w:t>.</w:t>
            </w:r>
            <w:r w:rsidR="0076713E">
              <w:t xml:space="preserve"> At the date of publication Western Australia was in the process of public consultation for the adoption of WHS.</w:t>
            </w:r>
          </w:p>
        </w:tc>
      </w:tr>
    </w:tbl>
    <w:p w14:paraId="61821710" w14:textId="77777777" w:rsidR="00496AB5" w:rsidRDefault="00496AB5" w:rsidP="00E27BFA">
      <w:pPr>
        <w:pStyle w:val="Header"/>
        <w:rPr>
          <w:noProof/>
        </w:rPr>
        <w:sectPr w:rsidR="00496AB5" w:rsidSect="00401E1C">
          <w:headerReference w:type="default" r:id="rId16"/>
          <w:footerReference w:type="default" r:id="rId17"/>
          <w:headerReference w:type="first" r:id="rId18"/>
          <w:footerReference w:type="first" r:id="rId19"/>
          <w:pgSz w:w="12240" w:h="15840"/>
          <w:pgMar w:top="1746" w:right="1325" w:bottom="567" w:left="1418" w:header="709" w:footer="720" w:gutter="0"/>
          <w:pgNumType w:fmt="lowerRoman"/>
          <w:cols w:space="709"/>
          <w:docGrid w:linePitch="326"/>
        </w:sectPr>
      </w:pPr>
    </w:p>
    <w:p w14:paraId="61821711" w14:textId="77777777" w:rsidR="00496AB5" w:rsidRPr="00C51EB3" w:rsidRDefault="00E9069F" w:rsidP="003A782C">
      <w:pPr>
        <w:pStyle w:val="Heading1"/>
        <w:numPr>
          <w:ilvl w:val="0"/>
          <w:numId w:val="0"/>
        </w:numPr>
        <w:tabs>
          <w:tab w:val="clear" w:pos="851"/>
          <w:tab w:val="left" w:pos="426"/>
        </w:tabs>
      </w:pPr>
      <w:bookmarkStart w:id="0" w:name="_Toc19005479"/>
      <w:bookmarkStart w:id="1" w:name="_Toc101438934"/>
      <w:r>
        <w:lastRenderedPageBreak/>
        <w:t>1.</w:t>
      </w:r>
      <w:r>
        <w:tab/>
      </w:r>
      <w:r w:rsidRPr="00C51EB3">
        <w:t>Introduction</w:t>
      </w:r>
      <w:bookmarkEnd w:id="0"/>
      <w:bookmarkEnd w:id="1"/>
    </w:p>
    <w:p w14:paraId="61821712" w14:textId="77777777" w:rsidR="003E319D" w:rsidRPr="004646C6" w:rsidRDefault="00E9069F" w:rsidP="005E44A4">
      <w:pPr>
        <w:pStyle w:val="Heading2"/>
      </w:pPr>
      <w:bookmarkStart w:id="2" w:name="_Toc19005480"/>
      <w:bookmarkStart w:id="3" w:name="_Toc101438935"/>
      <w:r>
        <w:t>1.1</w:t>
      </w:r>
      <w:r w:rsidR="00D92E5E">
        <w:t xml:space="preserve">   </w:t>
      </w:r>
      <w:r w:rsidRPr="004646C6">
        <w:t>Purpose</w:t>
      </w:r>
      <w:bookmarkEnd w:id="2"/>
      <w:bookmarkEnd w:id="3"/>
    </w:p>
    <w:p w14:paraId="61821713" w14:textId="77777777" w:rsidR="003E319D" w:rsidRPr="00B53A0B" w:rsidRDefault="00E9069F" w:rsidP="00E27BFA">
      <w:r w:rsidRPr="00E27BFA">
        <w:t xml:space="preserve">The </w:t>
      </w:r>
      <w:r w:rsidRPr="00B53A0B">
        <w:t xml:space="preserve">purpose of this document is to outline aspects associated with the </w:t>
      </w:r>
      <w:r w:rsidR="00A95693" w:rsidRPr="00B53A0B">
        <w:t xml:space="preserve">management of chemicals at all </w:t>
      </w:r>
      <w:r w:rsidR="00655910" w:rsidRPr="00B53A0B">
        <w:t xml:space="preserve">of </w:t>
      </w:r>
      <w:r w:rsidR="00A95693" w:rsidRPr="00B53A0B">
        <w:t>Curtin University</w:t>
      </w:r>
      <w:r w:rsidR="00655910" w:rsidRPr="00B53A0B">
        <w:t>’s</w:t>
      </w:r>
      <w:r w:rsidR="00A95693" w:rsidRPr="00B53A0B">
        <w:t xml:space="preserve"> </w:t>
      </w:r>
      <w:r w:rsidR="00655910" w:rsidRPr="00B53A0B">
        <w:t xml:space="preserve">Australian </w:t>
      </w:r>
      <w:r w:rsidR="00A95693" w:rsidRPr="00B53A0B">
        <w:t xml:space="preserve">sites. This includes </w:t>
      </w:r>
      <w:r w:rsidRPr="00B53A0B">
        <w:t xml:space="preserve">purchasing, safe use, storage, management, </w:t>
      </w:r>
      <w:proofErr w:type="gramStart"/>
      <w:r w:rsidRPr="00B53A0B">
        <w:t>transportation</w:t>
      </w:r>
      <w:proofErr w:type="gramEnd"/>
      <w:r w:rsidRPr="00B53A0B">
        <w:t xml:space="preserve"> and disposal of chemicals</w:t>
      </w:r>
      <w:r w:rsidR="00F43D5E" w:rsidRPr="00B53A0B">
        <w:t>.</w:t>
      </w:r>
      <w:r w:rsidRPr="00B53A0B">
        <w:t xml:space="preserve"> There may be other standards and legislation </w:t>
      </w:r>
      <w:r w:rsidR="00A95693" w:rsidRPr="00B53A0B">
        <w:t xml:space="preserve">in addition to those outlined in this document </w:t>
      </w:r>
      <w:r w:rsidRPr="00B53A0B">
        <w:t xml:space="preserve">that </w:t>
      </w:r>
      <w:r w:rsidR="00C51EB3" w:rsidRPr="00B53A0B">
        <w:t xml:space="preserve">may </w:t>
      </w:r>
      <w:r w:rsidRPr="00B53A0B">
        <w:t>need to be considered as applicable.</w:t>
      </w:r>
    </w:p>
    <w:p w14:paraId="61821714" w14:textId="77777777" w:rsidR="003E319D" w:rsidRPr="00B53A0B" w:rsidRDefault="00E9069F" w:rsidP="005E44A4">
      <w:pPr>
        <w:pStyle w:val="Heading2"/>
      </w:pPr>
      <w:bookmarkStart w:id="4" w:name="_Toc19005481"/>
      <w:bookmarkStart w:id="5" w:name="_Toc101438936"/>
      <w:r w:rsidRPr="00B53A0B">
        <w:t>1.2   Aim</w:t>
      </w:r>
      <w:bookmarkEnd w:id="4"/>
      <w:bookmarkEnd w:id="5"/>
    </w:p>
    <w:p w14:paraId="61821715" w14:textId="77777777" w:rsidR="003E319D" w:rsidRPr="00B53A0B" w:rsidRDefault="00E9069F" w:rsidP="00E27BFA">
      <w:r w:rsidRPr="00B53A0B">
        <w:t>The aim of this document is to outline Curtin University’s process</w:t>
      </w:r>
      <w:r w:rsidR="00A95693" w:rsidRPr="00B53A0B">
        <w:t xml:space="preserve"> and expectations</w:t>
      </w:r>
      <w:r w:rsidRPr="00B53A0B">
        <w:t xml:space="preserve"> for managing chemicals and the</w:t>
      </w:r>
      <w:r w:rsidR="00A95693" w:rsidRPr="00B53A0B">
        <w:t>ir</w:t>
      </w:r>
      <w:r w:rsidRPr="00B53A0B">
        <w:t xml:space="preserve"> associated risks to ensure:</w:t>
      </w:r>
    </w:p>
    <w:p w14:paraId="61821716" w14:textId="77777777" w:rsidR="003E319D" w:rsidRPr="00B53A0B" w:rsidRDefault="00E9069F" w:rsidP="002D2118">
      <w:pPr>
        <w:pStyle w:val="Bullet1"/>
      </w:pPr>
      <w:r w:rsidRPr="00B53A0B">
        <w:t xml:space="preserve">that arrangements are in place to minimise the risk of adverse health effects and protect the safety of staff, students, contractors and members of the public, due to exposure to hazardous substances and dangerous </w:t>
      </w:r>
      <w:proofErr w:type="gramStart"/>
      <w:r w:rsidRPr="00B53A0B">
        <w:t>goods;</w:t>
      </w:r>
      <w:proofErr w:type="gramEnd"/>
    </w:p>
    <w:p w14:paraId="61821717" w14:textId="77777777" w:rsidR="003E319D" w:rsidRPr="00B53A0B" w:rsidRDefault="00E9069F" w:rsidP="00391E62">
      <w:pPr>
        <w:pStyle w:val="Bullet1"/>
      </w:pPr>
      <w:r w:rsidRPr="00B53A0B">
        <w:t>the mitigation of adverse environmental impacts; and</w:t>
      </w:r>
    </w:p>
    <w:p w14:paraId="61821718" w14:textId="77777777" w:rsidR="003E319D" w:rsidRPr="00B53A0B" w:rsidRDefault="00E9069F" w:rsidP="00F614A2">
      <w:pPr>
        <w:pStyle w:val="Bullet1"/>
      </w:pPr>
      <w:r w:rsidRPr="00B53A0B">
        <w:t>compliance with State and Commonwealth regulatory requirements.</w:t>
      </w:r>
    </w:p>
    <w:p w14:paraId="61821719" w14:textId="77777777" w:rsidR="003E319D" w:rsidRPr="00B53A0B" w:rsidRDefault="00E9069F" w:rsidP="005E44A4">
      <w:pPr>
        <w:pStyle w:val="Heading2"/>
      </w:pPr>
      <w:bookmarkStart w:id="6" w:name="_Toc19005482"/>
      <w:bookmarkStart w:id="7" w:name="_Toc101438937"/>
      <w:r w:rsidRPr="00B53A0B">
        <w:t>1.3   Scope</w:t>
      </w:r>
      <w:bookmarkEnd w:id="6"/>
      <w:bookmarkEnd w:id="7"/>
    </w:p>
    <w:p w14:paraId="6182171A" w14:textId="30472701" w:rsidR="003E319D" w:rsidRDefault="00E9069F" w:rsidP="00E27BFA">
      <w:r w:rsidRPr="00B53A0B">
        <w:t xml:space="preserve">This document applies to all Curtin University staff, students and contractors who are required to use chemicals and/or controlled substances within the scope of their duties </w:t>
      </w:r>
      <w:r w:rsidR="00655910" w:rsidRPr="00B53A0B">
        <w:t xml:space="preserve">on </w:t>
      </w:r>
      <w:r w:rsidRPr="00B53A0B">
        <w:t>Curtin University</w:t>
      </w:r>
      <w:r w:rsidR="00655910" w:rsidRPr="00B53A0B">
        <w:t>’s Australian sites</w:t>
      </w:r>
      <w:r w:rsidRPr="00B53A0B">
        <w:t>.</w:t>
      </w:r>
      <w:r w:rsidR="00D73C85" w:rsidRPr="00B53A0B">
        <w:t xml:space="preserve"> This will include but is not limited to laboratory, </w:t>
      </w:r>
      <w:r w:rsidR="00B87E29" w:rsidRPr="00B53A0B">
        <w:t>studio, cleaning, gardening</w:t>
      </w:r>
      <w:r w:rsidR="00D73C85" w:rsidRPr="00B53A0B">
        <w:t>, maintenance,</w:t>
      </w:r>
      <w:r w:rsidR="00D73C85">
        <w:t xml:space="preserve"> and construction personnel.</w:t>
      </w:r>
    </w:p>
    <w:p w14:paraId="6182171B" w14:textId="65BB3875" w:rsidR="003E319D" w:rsidRDefault="00E9069F" w:rsidP="00E27BFA">
      <w:r>
        <w:t xml:space="preserve">The Chemical Management </w:t>
      </w:r>
      <w:r w:rsidR="00B753A1">
        <w:t xml:space="preserve">Plan </w:t>
      </w:r>
      <w:r>
        <w:t xml:space="preserve">is intended for </w:t>
      </w:r>
      <w:r w:rsidR="00A95693">
        <w:t xml:space="preserve">the </w:t>
      </w:r>
      <w:r w:rsidR="00CB3CD8">
        <w:t xml:space="preserve">use of </w:t>
      </w:r>
      <w:r>
        <w:t>chemicals such as</w:t>
      </w:r>
      <w:r w:rsidR="00CB3CD8">
        <w:t>,</w:t>
      </w:r>
      <w:r>
        <w:t xml:space="preserve"> but not limited to</w:t>
      </w:r>
      <w:r w:rsidR="00CB3CD8">
        <w:t>,</w:t>
      </w:r>
      <w:r>
        <w:t xml:space="preserve"> hazardous substances</w:t>
      </w:r>
      <w:r w:rsidR="00810A86">
        <w:t>/chemicals</w:t>
      </w:r>
      <w:r>
        <w:t xml:space="preserve">, dangerous </w:t>
      </w:r>
      <w:proofErr w:type="gramStart"/>
      <w:r>
        <w:t>goods</w:t>
      </w:r>
      <w:proofErr w:type="gramEnd"/>
      <w:r w:rsidR="00A95693">
        <w:t xml:space="preserve"> and otherwise controlled substances</w:t>
      </w:r>
      <w:r>
        <w:t>.</w:t>
      </w:r>
      <w:r w:rsidR="00A05E79">
        <w:t xml:space="preserve"> The general legislative requirements for hazardous substances and dangerous goods will be outlined in the first portion of the document. The later portion will cover </w:t>
      </w:r>
      <w:r w:rsidR="00A95693">
        <w:t xml:space="preserve">other controlled </w:t>
      </w:r>
      <w:r w:rsidR="00A05E79">
        <w:t xml:space="preserve">substances which require additional </w:t>
      </w:r>
      <w:r w:rsidR="00A95693">
        <w:t xml:space="preserve">specific </w:t>
      </w:r>
      <w:r w:rsidR="00A05E79">
        <w:t>controls</w:t>
      </w:r>
      <w:r w:rsidR="00015B1B">
        <w:t xml:space="preserve"> (</w:t>
      </w:r>
      <w:r w:rsidR="00CA45D7">
        <w:t>s</w:t>
      </w:r>
      <w:r w:rsidR="00015B1B">
        <w:t>ee section 2.4)</w:t>
      </w:r>
      <w:r w:rsidR="00A05E79">
        <w:t>.</w:t>
      </w:r>
    </w:p>
    <w:p w14:paraId="6182171C" w14:textId="77777777" w:rsidR="003E319D" w:rsidRDefault="00E9069F" w:rsidP="00E27BFA">
      <w:r>
        <w:t xml:space="preserve">This document </w:t>
      </w:r>
      <w:r w:rsidR="00A95693">
        <w:t>should be used</w:t>
      </w:r>
      <w:r>
        <w:t xml:space="preserve"> in conjunction with other Curtin documentation and procedures surrounding the management of chemicals</w:t>
      </w:r>
      <w:r w:rsidR="00CB3CD8">
        <w:t xml:space="preserve"> (including specific area safety management plans, area and task specific risk assessments and standard operating procedures</w:t>
      </w:r>
      <w:r w:rsidR="00AA617A">
        <w:t>)</w:t>
      </w:r>
      <w:r>
        <w:t>.  This document has been developed in line with legislation and guidance that were current at the time of writing.  New legislation and guidelines developed since the authoring of this document must be considered.</w:t>
      </w:r>
    </w:p>
    <w:p w14:paraId="6182171D" w14:textId="77777777" w:rsidR="003E319D" w:rsidRDefault="00E9069F" w:rsidP="005E44A4">
      <w:pPr>
        <w:pStyle w:val="Heading2"/>
      </w:pPr>
      <w:bookmarkStart w:id="8" w:name="_Toc19005483"/>
      <w:bookmarkStart w:id="9" w:name="_Toc101438938"/>
      <w:r>
        <w:t>1.4   Not included in this plan</w:t>
      </w:r>
      <w:bookmarkEnd w:id="8"/>
      <w:bookmarkEnd w:id="9"/>
    </w:p>
    <w:p w14:paraId="6182171E" w14:textId="77777777" w:rsidR="003E319D" w:rsidRDefault="00E9069F" w:rsidP="00E27BFA">
      <w:r>
        <w:t>The following is not included as part of this plan:</w:t>
      </w:r>
    </w:p>
    <w:p w14:paraId="6182171F" w14:textId="77777777" w:rsidR="003E319D" w:rsidRPr="004646C6" w:rsidRDefault="00E9069F" w:rsidP="002D2118">
      <w:pPr>
        <w:pStyle w:val="Bullet1"/>
      </w:pPr>
      <w:r w:rsidRPr="004646C6">
        <w:t>Class 1 Dangerous goods</w:t>
      </w:r>
      <w:r w:rsidR="00A95693">
        <w:t xml:space="preserve"> (Explosives)</w:t>
      </w:r>
    </w:p>
    <w:p w14:paraId="61821720" w14:textId="77777777" w:rsidR="003E319D" w:rsidRDefault="00E9069F" w:rsidP="00391E62">
      <w:pPr>
        <w:pStyle w:val="Bullet1"/>
      </w:pPr>
      <w:r>
        <w:t>Biological safety</w:t>
      </w:r>
      <w:r w:rsidR="00A95693">
        <w:t xml:space="preserve"> (Biological Materials and Genetically Modified Organisms)</w:t>
      </w:r>
    </w:p>
    <w:p w14:paraId="61821721" w14:textId="77777777" w:rsidR="003E319D" w:rsidRDefault="00E9069F" w:rsidP="00F614A2">
      <w:pPr>
        <w:pStyle w:val="Bullet1"/>
      </w:pPr>
      <w:r>
        <w:t>The built environment - Asbestos, natural mineral fibres (NMF), CFC’s</w:t>
      </w:r>
    </w:p>
    <w:p w14:paraId="61821722" w14:textId="77777777" w:rsidR="003E319D" w:rsidRDefault="00E9069F" w:rsidP="00F614A2">
      <w:pPr>
        <w:pStyle w:val="Bullet1"/>
      </w:pPr>
      <w:r>
        <w:t xml:space="preserve">Bulk storage of petroleum fuels </w:t>
      </w:r>
      <w:r w:rsidR="00123BB8">
        <w:t>(</w:t>
      </w:r>
      <w:r>
        <w:t>including underground storage tanks</w:t>
      </w:r>
      <w:r w:rsidR="00504CFD">
        <w:t>)</w:t>
      </w:r>
    </w:p>
    <w:p w14:paraId="61821723" w14:textId="77777777" w:rsidR="00FA396B" w:rsidRDefault="00E9069F" w:rsidP="00F614A2">
      <w:pPr>
        <w:pStyle w:val="Bullet1"/>
      </w:pPr>
      <w:r>
        <w:t>Chemicals stored in Offices &amp; Tea prep areas.</w:t>
      </w:r>
    </w:p>
    <w:p w14:paraId="61821724" w14:textId="77777777" w:rsidR="003E319D" w:rsidRDefault="00E9069F" w:rsidP="00E27BFA">
      <w:r w:rsidRPr="00061F01">
        <w:lastRenderedPageBreak/>
        <w:t xml:space="preserve">For each of these </w:t>
      </w:r>
      <w:r w:rsidR="00061F01" w:rsidRPr="00061F01">
        <w:t xml:space="preserve">topics </w:t>
      </w:r>
      <w:r w:rsidRPr="00061F01">
        <w:t>please see alternative</w:t>
      </w:r>
      <w:r w:rsidR="00123BB8" w:rsidRPr="00061F01">
        <w:t xml:space="preserve"> guidance document or </w:t>
      </w:r>
      <w:r w:rsidR="00061F01" w:rsidRPr="00061F01">
        <w:t xml:space="preserve">advice </w:t>
      </w:r>
      <w:r w:rsidR="00123BB8" w:rsidRPr="00061F01">
        <w:t xml:space="preserve">ensure </w:t>
      </w:r>
      <w:r w:rsidRPr="00061F01">
        <w:t xml:space="preserve">appropriate risk assessment </w:t>
      </w:r>
      <w:r w:rsidR="00123BB8" w:rsidRPr="00061F01">
        <w:t xml:space="preserve">and </w:t>
      </w:r>
      <w:r w:rsidR="00123BB8" w:rsidRPr="00061F01">
        <w:rPr>
          <w:b/>
          <w:i/>
        </w:rPr>
        <w:t>safety documentation</w:t>
      </w:r>
      <w:r w:rsidR="00123BB8" w:rsidRPr="00061F01">
        <w:t xml:space="preserve"> </w:t>
      </w:r>
      <w:r w:rsidRPr="00061F01">
        <w:t xml:space="preserve">are completed, </w:t>
      </w:r>
      <w:proofErr w:type="gramStart"/>
      <w:r w:rsidRPr="00061F01">
        <w:t>reviewed</w:t>
      </w:r>
      <w:proofErr w:type="gramEnd"/>
      <w:r w:rsidRPr="00061F01">
        <w:t xml:space="preserve"> and approved.</w:t>
      </w:r>
      <w:r>
        <w:t xml:space="preserve"> </w:t>
      </w:r>
    </w:p>
    <w:p w14:paraId="61821725" w14:textId="77777777" w:rsidR="003E319D" w:rsidRDefault="00E9069F" w:rsidP="005E44A4">
      <w:pPr>
        <w:pStyle w:val="Heading2"/>
      </w:pPr>
      <w:bookmarkStart w:id="10" w:name="_Toc19005484"/>
      <w:bookmarkStart w:id="11" w:name="_Toc101438939"/>
      <w:r>
        <w:t>1.5   Responsibilities</w:t>
      </w:r>
      <w:bookmarkEnd w:id="10"/>
      <w:bookmarkEnd w:id="11"/>
    </w:p>
    <w:p w14:paraId="61821726" w14:textId="77777777" w:rsidR="003E319D" w:rsidRPr="00E80EF8" w:rsidRDefault="00E9069F" w:rsidP="00E27BFA">
      <w:r>
        <w:t xml:space="preserve">All staff, students and contractors who purchase, use, store or dispose of chemicals or controlled substances on behalf of Curtin University are required to undertake their responsibilities in line with the </w:t>
      </w:r>
      <w:r w:rsidR="00061F01" w:rsidRPr="00D10922">
        <w:t>Health and Safety Responsibilities Procedures</w:t>
      </w:r>
      <w:r w:rsidR="00D10922" w:rsidRPr="00D10922">
        <w:t xml:space="preserve"> located at Curtin’s </w:t>
      </w:r>
      <w:hyperlink r:id="rId20" w:anchor="H" w:history="1">
        <w:r w:rsidR="00D10922" w:rsidRPr="00D10922">
          <w:rPr>
            <w:rStyle w:val="Hyperlink"/>
          </w:rPr>
          <w:t>Policies</w:t>
        </w:r>
      </w:hyperlink>
      <w:r w:rsidR="00D10922" w:rsidRPr="00D10922">
        <w:t xml:space="preserve"> page.</w:t>
      </w:r>
      <w:r w:rsidR="009E2D66" w:rsidRPr="00D10922">
        <w:t xml:space="preserve"> </w:t>
      </w:r>
      <w:r w:rsidR="007C2335" w:rsidRPr="00D10922">
        <w:t>For more</w:t>
      </w:r>
      <w:r w:rsidR="007C2335" w:rsidRPr="007C2335">
        <w:rPr>
          <w:rStyle w:val="Hyperlink"/>
          <w:color w:val="auto"/>
          <w:u w:val="none"/>
        </w:rPr>
        <w:t xml:space="preserve"> detail on t</w:t>
      </w:r>
      <w:r w:rsidR="00E80EF8" w:rsidRPr="007C2335">
        <w:rPr>
          <w:rStyle w:val="Hyperlink"/>
          <w:color w:val="auto"/>
          <w:u w:val="none"/>
        </w:rPr>
        <w:t xml:space="preserve">he </w:t>
      </w:r>
      <w:r w:rsidR="007C2335">
        <w:rPr>
          <w:rStyle w:val="Hyperlink"/>
          <w:color w:val="000000" w:themeColor="text1"/>
          <w:u w:val="none"/>
        </w:rPr>
        <w:t>Health and Safety Responsib</w:t>
      </w:r>
      <w:r w:rsidR="00386BA2">
        <w:rPr>
          <w:rStyle w:val="Hyperlink"/>
          <w:color w:val="000000" w:themeColor="text1"/>
          <w:u w:val="none"/>
        </w:rPr>
        <w:t>ilities within Curtin University, including</w:t>
      </w:r>
      <w:r w:rsidR="00E80EF8" w:rsidRPr="00E80EF8">
        <w:rPr>
          <w:rStyle w:val="Hyperlink"/>
          <w:color w:val="000000" w:themeColor="text1"/>
          <w:u w:val="none"/>
        </w:rPr>
        <w:t xml:space="preserve"> individual performance crit</w:t>
      </w:r>
      <w:r w:rsidR="00386BA2">
        <w:rPr>
          <w:rStyle w:val="Hyperlink"/>
          <w:color w:val="000000" w:themeColor="text1"/>
          <w:u w:val="none"/>
        </w:rPr>
        <w:t xml:space="preserve">eria for each responsible party, please see the </w:t>
      </w:r>
      <w:r w:rsidR="00386BA2">
        <w:t>full procedure.</w:t>
      </w:r>
    </w:p>
    <w:p w14:paraId="61821727" w14:textId="77777777" w:rsidR="00E27BFA" w:rsidRDefault="00E9069F" w:rsidP="00E27BFA">
      <w:r w:rsidRPr="00E01967">
        <w:rPr>
          <w:b/>
        </w:rPr>
        <w:t>Table 1</w:t>
      </w:r>
      <w:r w:rsidR="00061F01">
        <w:t xml:space="preserve"> provides a</w:t>
      </w:r>
      <w:r>
        <w:t xml:space="preserve"> </w:t>
      </w:r>
      <w:r w:rsidR="00061F01">
        <w:t>summary of the main</w:t>
      </w:r>
      <w:r>
        <w:t xml:space="preserve"> roles and responsibilities </w:t>
      </w:r>
      <w:r w:rsidR="00FA396B">
        <w:t xml:space="preserve">for chemical management </w:t>
      </w:r>
      <w:r>
        <w:t xml:space="preserve">across </w:t>
      </w:r>
      <w:r w:rsidR="00061F01">
        <w:t xml:space="preserve">the Curtin </w:t>
      </w:r>
      <w:r>
        <w:t>campus.</w:t>
      </w:r>
      <w:r w:rsidR="00061F01">
        <w:t xml:space="preserve"> Specific responsibilities will also be outlined in each subsection where applicable.</w:t>
      </w:r>
    </w:p>
    <w:p w14:paraId="61821728" w14:textId="77777777" w:rsidR="00E27BFA" w:rsidRDefault="00E27BFA" w:rsidP="00E27BFA"/>
    <w:p w14:paraId="61821729" w14:textId="77777777" w:rsidR="00E01967" w:rsidRDefault="00E01967" w:rsidP="00E27BFA"/>
    <w:p w14:paraId="6182172A" w14:textId="77777777" w:rsidR="00C33646" w:rsidRDefault="00C33646" w:rsidP="00E27BFA">
      <w:pPr>
        <w:sectPr w:rsidR="00C33646" w:rsidSect="0045568A">
          <w:footerReference w:type="first" r:id="rId21"/>
          <w:pgSz w:w="12240" w:h="15840"/>
          <w:pgMar w:top="1809" w:right="1469" w:bottom="567" w:left="1418" w:header="703" w:footer="635" w:gutter="0"/>
          <w:pgNumType w:start="1"/>
          <w:cols w:space="709"/>
          <w:titlePg/>
          <w:docGrid w:linePitch="326"/>
        </w:sectPr>
      </w:pPr>
    </w:p>
    <w:p w14:paraId="6182172B" w14:textId="77777777" w:rsidR="00055827" w:rsidRPr="00055827" w:rsidRDefault="00E9069F" w:rsidP="00055827">
      <w:pPr>
        <w:tabs>
          <w:tab w:val="left" w:pos="992"/>
        </w:tabs>
        <w:spacing w:after="120"/>
        <w:ind w:left="992" w:hanging="992"/>
        <w:rPr>
          <w:rFonts w:eastAsia="Calibri" w:cs="Arial"/>
          <w:b/>
          <w:bCs/>
          <w:color w:val="0070C0"/>
          <w:sz w:val="18"/>
          <w:szCs w:val="18"/>
          <w:u w:val="single"/>
        </w:rPr>
      </w:pPr>
      <w:bookmarkStart w:id="12" w:name="_Toc424737835"/>
      <w:bookmarkStart w:id="13" w:name="_Toc18574526"/>
      <w:bookmarkStart w:id="14" w:name="_Toc99619988"/>
      <w:r w:rsidRPr="00055827">
        <w:rPr>
          <w:rFonts w:eastAsia="Calibri" w:cs="Calibri"/>
          <w:b/>
          <w:bCs/>
          <w:sz w:val="18"/>
          <w:szCs w:val="18"/>
          <w:lang w:val="en-US" w:eastAsia="en-US"/>
        </w:rPr>
        <w:lastRenderedPageBreak/>
        <w:t>Table </w:t>
      </w:r>
      <w:r w:rsidRPr="00055827">
        <w:rPr>
          <w:rFonts w:eastAsia="Calibri" w:cs="Calibri"/>
          <w:b/>
          <w:bCs/>
          <w:sz w:val="18"/>
          <w:szCs w:val="18"/>
          <w:lang w:val="en-US" w:eastAsia="en-US"/>
        </w:rPr>
        <w:fldChar w:fldCharType="begin"/>
      </w:r>
      <w:r w:rsidRPr="00055827">
        <w:rPr>
          <w:rFonts w:eastAsia="Calibri" w:cs="Calibri"/>
          <w:b/>
          <w:bCs/>
          <w:sz w:val="18"/>
          <w:szCs w:val="18"/>
          <w:lang w:val="en-US" w:eastAsia="en-US"/>
        </w:rPr>
        <w:instrText xml:space="preserve"> SEQ Table \* ARABIC </w:instrText>
      </w:r>
      <w:r w:rsidRPr="00055827">
        <w:rPr>
          <w:rFonts w:eastAsia="Calibri" w:cs="Calibri"/>
          <w:b/>
          <w:bCs/>
          <w:sz w:val="18"/>
          <w:szCs w:val="18"/>
          <w:lang w:val="en-US" w:eastAsia="en-US"/>
        </w:rPr>
        <w:fldChar w:fldCharType="separate"/>
      </w:r>
      <w:r w:rsidR="00BC0589">
        <w:rPr>
          <w:rFonts w:eastAsia="Calibri" w:cs="Calibri"/>
          <w:b/>
          <w:bCs/>
          <w:noProof/>
          <w:sz w:val="18"/>
          <w:szCs w:val="18"/>
          <w:lang w:val="en-US" w:eastAsia="en-US"/>
        </w:rPr>
        <w:t>1</w:t>
      </w:r>
      <w:r w:rsidRPr="00055827">
        <w:rPr>
          <w:rFonts w:eastAsia="Calibri" w:cs="Calibri"/>
          <w:b/>
          <w:bCs/>
          <w:sz w:val="18"/>
          <w:szCs w:val="18"/>
          <w:lang w:val="en-US" w:eastAsia="en-US"/>
        </w:rPr>
        <w:fldChar w:fldCharType="end"/>
      </w:r>
      <w:r w:rsidR="006852F2">
        <w:rPr>
          <w:rFonts w:eastAsia="Calibri" w:cs="Calibri"/>
          <w:b/>
          <w:bCs/>
          <w:sz w:val="18"/>
          <w:szCs w:val="18"/>
          <w:lang w:val="en-US" w:eastAsia="en-US"/>
        </w:rPr>
        <w:t>:</w:t>
      </w:r>
      <w:r w:rsidR="001B3F70">
        <w:rPr>
          <w:rFonts w:eastAsia="Calibri" w:cs="Calibri"/>
          <w:b/>
          <w:bCs/>
          <w:sz w:val="18"/>
          <w:szCs w:val="18"/>
          <w:lang w:val="en-US" w:eastAsia="en-US"/>
        </w:rPr>
        <w:t xml:space="preserve"> M</w:t>
      </w:r>
      <w:r w:rsidR="00F701BD">
        <w:rPr>
          <w:rFonts w:eastAsia="Calibri" w:cs="Calibri"/>
          <w:b/>
          <w:bCs/>
          <w:sz w:val="18"/>
          <w:szCs w:val="18"/>
          <w:lang w:val="en-US" w:eastAsia="en-US"/>
        </w:rPr>
        <w:t xml:space="preserve">ain </w:t>
      </w:r>
      <w:r w:rsidRPr="00055827">
        <w:rPr>
          <w:rFonts w:eastAsia="Calibri" w:cs="Calibri"/>
          <w:b/>
          <w:bCs/>
          <w:sz w:val="18"/>
          <w:szCs w:val="18"/>
          <w:lang w:val="en-US" w:eastAsia="en-US"/>
        </w:rPr>
        <w:t>Ro</w:t>
      </w:r>
      <w:r w:rsidR="00F701BD">
        <w:rPr>
          <w:rFonts w:eastAsia="Calibri" w:cs="Calibri"/>
          <w:b/>
          <w:bCs/>
          <w:sz w:val="18"/>
          <w:szCs w:val="18"/>
          <w:lang w:val="en-US" w:eastAsia="en-US"/>
        </w:rPr>
        <w:t>les, R</w:t>
      </w:r>
      <w:r w:rsidRPr="00055827">
        <w:rPr>
          <w:rFonts w:eastAsia="Calibri" w:cs="Calibri"/>
          <w:b/>
          <w:bCs/>
          <w:sz w:val="18"/>
          <w:szCs w:val="18"/>
          <w:lang w:val="en-US" w:eastAsia="en-US"/>
        </w:rPr>
        <w:t xml:space="preserve">esponsibilities and </w:t>
      </w:r>
      <w:r w:rsidR="00F701BD">
        <w:rPr>
          <w:rFonts w:eastAsia="Calibri" w:cs="Calibri"/>
          <w:b/>
          <w:bCs/>
          <w:sz w:val="18"/>
          <w:szCs w:val="18"/>
          <w:lang w:val="en-US" w:eastAsia="en-US"/>
        </w:rPr>
        <w:t>A</w:t>
      </w:r>
      <w:r w:rsidRPr="00055827">
        <w:rPr>
          <w:rFonts w:eastAsia="Calibri" w:cs="Calibri"/>
          <w:b/>
          <w:bCs/>
          <w:sz w:val="18"/>
          <w:szCs w:val="18"/>
          <w:lang w:val="en-US" w:eastAsia="en-US"/>
        </w:rPr>
        <w:t>uthorities</w:t>
      </w:r>
      <w:bookmarkEnd w:id="12"/>
      <w:r w:rsidR="00F701BD">
        <w:rPr>
          <w:rFonts w:eastAsia="Calibri" w:cs="Calibri"/>
          <w:b/>
          <w:bCs/>
          <w:sz w:val="18"/>
          <w:szCs w:val="18"/>
          <w:lang w:val="en-US" w:eastAsia="en-US"/>
        </w:rPr>
        <w:t xml:space="preserve"> related to chemical management.</w:t>
      </w:r>
      <w:bookmarkEnd w:id="13"/>
      <w:bookmarkEnd w:id="14"/>
    </w:p>
    <w:tbl>
      <w:tblPr>
        <w:tblStyle w:val="SLRTable"/>
        <w:tblW w:w="13178" w:type="dxa"/>
        <w:tblLook w:val="04A0" w:firstRow="1" w:lastRow="0" w:firstColumn="1" w:lastColumn="0" w:noHBand="0" w:noVBand="1"/>
      </w:tblPr>
      <w:tblGrid>
        <w:gridCol w:w="2538"/>
        <w:gridCol w:w="3502"/>
        <w:gridCol w:w="4429"/>
        <w:gridCol w:w="2709"/>
      </w:tblGrid>
      <w:tr w:rsidR="0059373B" w14:paraId="61821731" w14:textId="77777777" w:rsidTr="003A782C">
        <w:trPr>
          <w:tblHeader/>
        </w:trPr>
        <w:tc>
          <w:tcPr>
            <w:tcW w:w="2538" w:type="dxa"/>
            <w:tcBorders>
              <w:bottom w:val="single" w:sz="2" w:space="0" w:color="auto"/>
            </w:tcBorders>
            <w:shd w:val="clear" w:color="auto" w:fill="auto"/>
          </w:tcPr>
          <w:p w14:paraId="6182172C" w14:textId="77777777" w:rsidR="00055827" w:rsidRPr="00055827" w:rsidRDefault="00E9069F" w:rsidP="00055827">
            <w:pPr>
              <w:keepNext/>
              <w:spacing w:before="45"/>
              <w:jc w:val="left"/>
              <w:rPr>
                <w:b/>
                <w:szCs w:val="18"/>
              </w:rPr>
            </w:pPr>
            <w:r>
              <w:rPr>
                <w:b/>
                <w:szCs w:val="18"/>
              </w:rPr>
              <w:t>Role</w:t>
            </w:r>
          </w:p>
        </w:tc>
        <w:tc>
          <w:tcPr>
            <w:tcW w:w="3502" w:type="dxa"/>
            <w:tcBorders>
              <w:bottom w:val="single" w:sz="2" w:space="0" w:color="auto"/>
            </w:tcBorders>
            <w:shd w:val="clear" w:color="auto" w:fill="auto"/>
          </w:tcPr>
          <w:p w14:paraId="6182172D" w14:textId="77777777" w:rsidR="00055827" w:rsidRDefault="00E9069F" w:rsidP="00680970">
            <w:pPr>
              <w:keepNext/>
              <w:spacing w:before="45"/>
              <w:jc w:val="left"/>
              <w:rPr>
                <w:b/>
                <w:szCs w:val="18"/>
              </w:rPr>
            </w:pPr>
            <w:r w:rsidRPr="00680970">
              <w:rPr>
                <w:b/>
                <w:szCs w:val="18"/>
              </w:rPr>
              <w:t xml:space="preserve"> </w:t>
            </w:r>
            <w:r w:rsidR="009E2D66" w:rsidRPr="00680970">
              <w:rPr>
                <w:b/>
                <w:szCs w:val="18"/>
              </w:rPr>
              <w:t>Responsibility</w:t>
            </w:r>
            <w:r w:rsidR="009E2D66">
              <w:rPr>
                <w:b/>
                <w:szCs w:val="18"/>
              </w:rPr>
              <w:t xml:space="preserve"> for health and safety</w:t>
            </w:r>
          </w:p>
          <w:p w14:paraId="6182172E" w14:textId="77777777" w:rsidR="00E80EF8" w:rsidRPr="00680970" w:rsidRDefault="00E9069F" w:rsidP="00680970">
            <w:pPr>
              <w:keepNext/>
              <w:spacing w:before="45"/>
              <w:jc w:val="left"/>
              <w:rPr>
                <w:b/>
                <w:szCs w:val="18"/>
              </w:rPr>
            </w:pPr>
            <w:r>
              <w:rPr>
                <w:b/>
                <w:szCs w:val="18"/>
              </w:rPr>
              <w:t>(</w:t>
            </w:r>
            <w:proofErr w:type="gramStart"/>
            <w:r>
              <w:rPr>
                <w:b/>
                <w:szCs w:val="18"/>
              </w:rPr>
              <w:t>from</w:t>
            </w:r>
            <w:proofErr w:type="gramEnd"/>
            <w:r>
              <w:rPr>
                <w:b/>
                <w:szCs w:val="18"/>
              </w:rPr>
              <w:t xml:space="preserve"> H&amp;S Responsibilities Procedures)</w:t>
            </w:r>
          </w:p>
        </w:tc>
        <w:tc>
          <w:tcPr>
            <w:tcW w:w="4429" w:type="dxa"/>
            <w:tcBorders>
              <w:bottom w:val="single" w:sz="2" w:space="0" w:color="auto"/>
            </w:tcBorders>
            <w:shd w:val="clear" w:color="auto" w:fill="auto"/>
          </w:tcPr>
          <w:p w14:paraId="6182172F" w14:textId="77777777" w:rsidR="00055827" w:rsidRPr="00680970" w:rsidRDefault="00E9069F" w:rsidP="00680970">
            <w:pPr>
              <w:keepNext/>
              <w:spacing w:before="45"/>
              <w:jc w:val="left"/>
              <w:rPr>
                <w:b/>
                <w:szCs w:val="18"/>
              </w:rPr>
            </w:pPr>
            <w:r>
              <w:rPr>
                <w:b/>
                <w:szCs w:val="18"/>
              </w:rPr>
              <w:t>Responsibility for chemical management</w:t>
            </w:r>
          </w:p>
        </w:tc>
        <w:tc>
          <w:tcPr>
            <w:tcW w:w="2709" w:type="dxa"/>
            <w:tcBorders>
              <w:bottom w:val="single" w:sz="2" w:space="0" w:color="auto"/>
            </w:tcBorders>
            <w:shd w:val="clear" w:color="auto" w:fill="auto"/>
          </w:tcPr>
          <w:p w14:paraId="61821730" w14:textId="77777777" w:rsidR="00055827" w:rsidRPr="00055827" w:rsidRDefault="00E9069F" w:rsidP="00055827">
            <w:pPr>
              <w:keepNext/>
              <w:spacing w:before="45"/>
              <w:jc w:val="left"/>
              <w:rPr>
                <w:b/>
                <w:szCs w:val="18"/>
              </w:rPr>
            </w:pPr>
            <w:r w:rsidRPr="00055827">
              <w:rPr>
                <w:b/>
                <w:szCs w:val="18"/>
              </w:rPr>
              <w:t>Authority</w:t>
            </w:r>
          </w:p>
        </w:tc>
      </w:tr>
      <w:tr w:rsidR="0059373B" w14:paraId="61821746" w14:textId="77777777" w:rsidTr="003A782C">
        <w:tc>
          <w:tcPr>
            <w:tcW w:w="2538" w:type="dxa"/>
            <w:tcBorders>
              <w:bottom w:val="nil"/>
            </w:tcBorders>
            <w:shd w:val="clear" w:color="auto" w:fill="auto"/>
          </w:tcPr>
          <w:p w14:paraId="61821732" w14:textId="77777777" w:rsidR="00F701BD" w:rsidRDefault="00E9069F" w:rsidP="00F701BD">
            <w:pPr>
              <w:spacing w:before="40" w:after="40"/>
              <w:jc w:val="left"/>
              <w:rPr>
                <w:rFonts w:eastAsiaTheme="minorEastAsia"/>
                <w:lang w:eastAsia="en-US"/>
              </w:rPr>
            </w:pPr>
            <w:r>
              <w:t xml:space="preserve">Heads of Schools/Area Managers </w:t>
            </w:r>
          </w:p>
        </w:tc>
        <w:tc>
          <w:tcPr>
            <w:tcW w:w="3502" w:type="dxa"/>
            <w:tcBorders>
              <w:bottom w:val="nil"/>
            </w:tcBorders>
            <w:shd w:val="clear" w:color="auto" w:fill="auto"/>
          </w:tcPr>
          <w:p w14:paraId="61821733" w14:textId="77777777" w:rsidR="00F701BD" w:rsidRPr="00055827" w:rsidRDefault="00E9069F" w:rsidP="00680970">
            <w:pPr>
              <w:pStyle w:val="ListBullet"/>
              <w:ind w:left="360"/>
              <w:jc w:val="left"/>
            </w:pPr>
            <w:r>
              <w:t>To implement and maintain an effective health and safety system within the School or Area that is consistent with the Occupational Safety &amp; Health Act 1984 and other legislative requirements.</w:t>
            </w:r>
          </w:p>
        </w:tc>
        <w:tc>
          <w:tcPr>
            <w:tcW w:w="4429" w:type="dxa"/>
            <w:tcBorders>
              <w:bottom w:val="nil"/>
            </w:tcBorders>
            <w:shd w:val="clear" w:color="auto" w:fill="auto"/>
          </w:tcPr>
          <w:p w14:paraId="61821734" w14:textId="34A1787A" w:rsidR="009E2D66" w:rsidRPr="00055827" w:rsidRDefault="00E9069F" w:rsidP="009E2D66">
            <w:pPr>
              <w:pStyle w:val="ListBullet"/>
              <w:jc w:val="left"/>
            </w:pPr>
            <w:r>
              <w:t xml:space="preserve">To implement and maintain </w:t>
            </w:r>
            <w:r w:rsidR="001D2366">
              <w:t>within the School or Area measures consistent with Curtin’s C</w:t>
            </w:r>
            <w:r>
              <w:t xml:space="preserve">hemical </w:t>
            </w:r>
            <w:r w:rsidR="001D2366">
              <w:t>M</w:t>
            </w:r>
            <w:r>
              <w:t xml:space="preserve">anagement </w:t>
            </w:r>
            <w:r w:rsidR="001D2366">
              <w:t>P</w:t>
            </w:r>
            <w:r w:rsidR="00B753A1">
              <w:t>lan</w:t>
            </w:r>
            <w:r w:rsidR="001D2366">
              <w:t>, ensuring</w:t>
            </w:r>
            <w:r>
              <w:t xml:space="preserve"> </w:t>
            </w:r>
            <w:r w:rsidR="001D2366">
              <w:t xml:space="preserve">compliance </w:t>
            </w:r>
            <w:r>
              <w:t xml:space="preserve">with the Occupational Safety &amp; Health Act 1984 and other legislative requirements. </w:t>
            </w:r>
          </w:p>
          <w:p w14:paraId="61821735" w14:textId="77777777" w:rsidR="00F701BD" w:rsidRPr="00055827" w:rsidRDefault="00F701BD" w:rsidP="00E80EF8">
            <w:pPr>
              <w:pStyle w:val="ListBullet"/>
              <w:jc w:val="left"/>
            </w:pPr>
          </w:p>
        </w:tc>
        <w:tc>
          <w:tcPr>
            <w:tcW w:w="2709" w:type="dxa"/>
            <w:tcBorders>
              <w:bottom w:val="nil"/>
            </w:tcBorders>
            <w:shd w:val="clear" w:color="auto" w:fill="auto"/>
          </w:tcPr>
          <w:p w14:paraId="61821736" w14:textId="77777777" w:rsidR="001966B1" w:rsidRDefault="00E9069F" w:rsidP="00F701BD">
            <w:pPr>
              <w:spacing w:before="120"/>
              <w:jc w:val="left"/>
            </w:pPr>
            <w:r>
              <w:t>Allocate responsibility for health &amp; safety management and delegation of authority.</w:t>
            </w:r>
            <w:r w:rsidR="006049FE">
              <w:t xml:space="preserve"> (Including chemical management)</w:t>
            </w:r>
          </w:p>
          <w:p w14:paraId="61821745" w14:textId="77777777" w:rsidR="00F701BD" w:rsidRPr="001966B1" w:rsidRDefault="00F701BD" w:rsidP="001966B1"/>
        </w:tc>
      </w:tr>
      <w:tr w:rsidR="0059373B" w14:paraId="6182175A" w14:textId="77777777" w:rsidTr="003A782C">
        <w:trPr>
          <w:trHeight w:val="2412"/>
        </w:trPr>
        <w:tc>
          <w:tcPr>
            <w:tcW w:w="2538" w:type="dxa"/>
            <w:tcBorders>
              <w:bottom w:val="single" w:sz="4" w:space="0" w:color="auto"/>
            </w:tcBorders>
            <w:shd w:val="clear" w:color="auto" w:fill="auto"/>
          </w:tcPr>
          <w:p w14:paraId="61821747" w14:textId="77777777" w:rsidR="001C0A09" w:rsidRDefault="00E9069F" w:rsidP="001C0A09">
            <w:pPr>
              <w:spacing w:before="40" w:after="40"/>
              <w:jc w:val="left"/>
            </w:pPr>
            <w:r>
              <w:t>Managers/Supervisors</w:t>
            </w:r>
          </w:p>
        </w:tc>
        <w:tc>
          <w:tcPr>
            <w:tcW w:w="3502" w:type="dxa"/>
            <w:tcBorders>
              <w:bottom w:val="single" w:sz="4" w:space="0" w:color="auto"/>
            </w:tcBorders>
            <w:shd w:val="clear" w:color="auto" w:fill="auto"/>
          </w:tcPr>
          <w:p w14:paraId="61821748" w14:textId="77777777" w:rsidR="001C0A09" w:rsidRPr="00055827" w:rsidRDefault="00E9069F" w:rsidP="00680970">
            <w:pPr>
              <w:pStyle w:val="ListBullet"/>
              <w:ind w:left="360"/>
              <w:jc w:val="left"/>
            </w:pPr>
            <w:r>
              <w:t>To undertake effective health and safety measures to ensure compliance with the Occupational Safety &amp; Health Act 1984 and other legislative requirements.</w:t>
            </w:r>
          </w:p>
        </w:tc>
        <w:tc>
          <w:tcPr>
            <w:tcW w:w="4429" w:type="dxa"/>
            <w:tcBorders>
              <w:bottom w:val="single" w:sz="4" w:space="0" w:color="auto"/>
            </w:tcBorders>
            <w:shd w:val="clear" w:color="auto" w:fill="auto"/>
          </w:tcPr>
          <w:p w14:paraId="61821749" w14:textId="77777777" w:rsidR="00073E73" w:rsidRDefault="00E9069F" w:rsidP="009E2D66">
            <w:pPr>
              <w:pStyle w:val="ListBullet"/>
              <w:jc w:val="left"/>
            </w:pPr>
            <w:r>
              <w:t>To undertake effective chemical management measures to ensure compliance with the Occupational Safety &amp; Health Act 1984 and other legislative requirements.</w:t>
            </w:r>
          </w:p>
          <w:p w14:paraId="6182174A" w14:textId="77777777" w:rsidR="002941D5" w:rsidRDefault="00E9069F" w:rsidP="009E2D66">
            <w:pPr>
              <w:pStyle w:val="ListBullet"/>
              <w:jc w:val="left"/>
            </w:pPr>
            <w:r>
              <w:t>For areas of responsibility ensure that chemicals are stored and handled within the limitations of the provided infrastructure.</w:t>
            </w:r>
          </w:p>
          <w:p w14:paraId="6182174B" w14:textId="77777777" w:rsidR="00073E73" w:rsidRPr="001C0A09" w:rsidRDefault="00E9069F" w:rsidP="009E2D66">
            <w:pPr>
              <w:pStyle w:val="ListBullet"/>
              <w:jc w:val="left"/>
            </w:pPr>
            <w:r>
              <w:t xml:space="preserve">To ensure chemical registers </w:t>
            </w:r>
            <w:r w:rsidR="009D24C2">
              <w:t xml:space="preserve">and site placarding </w:t>
            </w:r>
            <w:r w:rsidR="00C75518">
              <w:t xml:space="preserve">for areas of responsibility </w:t>
            </w:r>
            <w:r>
              <w:t>are up to date on ChemAlert.</w:t>
            </w:r>
          </w:p>
        </w:tc>
        <w:tc>
          <w:tcPr>
            <w:tcW w:w="2709" w:type="dxa"/>
            <w:tcBorders>
              <w:bottom w:val="single" w:sz="4" w:space="0" w:color="auto"/>
            </w:tcBorders>
            <w:shd w:val="clear" w:color="auto" w:fill="auto"/>
          </w:tcPr>
          <w:p w14:paraId="6182174C" w14:textId="77777777" w:rsidR="001966B1" w:rsidRDefault="001966B1" w:rsidP="001C0A09">
            <w:pPr>
              <w:spacing w:before="120"/>
              <w:jc w:val="left"/>
            </w:pPr>
          </w:p>
          <w:p w14:paraId="6182174D" w14:textId="77777777" w:rsidR="001966B1" w:rsidRPr="001966B1" w:rsidRDefault="001966B1" w:rsidP="001966B1"/>
          <w:p w14:paraId="6182174E" w14:textId="77777777" w:rsidR="001966B1" w:rsidRPr="001966B1" w:rsidRDefault="001966B1" w:rsidP="001966B1"/>
          <w:p w14:paraId="6182174F" w14:textId="77777777" w:rsidR="001966B1" w:rsidRPr="001966B1" w:rsidRDefault="001966B1" w:rsidP="001966B1"/>
          <w:p w14:paraId="61821759" w14:textId="77777777" w:rsidR="001C0A09" w:rsidRPr="001966B1" w:rsidRDefault="001C0A09" w:rsidP="001966B1"/>
        </w:tc>
      </w:tr>
      <w:tr w:rsidR="0059373B" w14:paraId="6182176A" w14:textId="77777777" w:rsidTr="003A782C">
        <w:tc>
          <w:tcPr>
            <w:tcW w:w="2538" w:type="dxa"/>
            <w:tcBorders>
              <w:top w:val="single" w:sz="4" w:space="0" w:color="auto"/>
            </w:tcBorders>
            <w:shd w:val="clear" w:color="auto" w:fill="auto"/>
          </w:tcPr>
          <w:p w14:paraId="6182175B" w14:textId="77777777" w:rsidR="001C0A09" w:rsidRPr="00055827" w:rsidRDefault="00E9069F" w:rsidP="001C0A09">
            <w:pPr>
              <w:spacing w:before="40" w:after="40"/>
              <w:jc w:val="left"/>
            </w:pPr>
            <w:r>
              <w:t>Individual workers/students</w:t>
            </w:r>
          </w:p>
        </w:tc>
        <w:tc>
          <w:tcPr>
            <w:tcW w:w="3502" w:type="dxa"/>
            <w:tcBorders>
              <w:top w:val="single" w:sz="4" w:space="0" w:color="auto"/>
            </w:tcBorders>
            <w:shd w:val="clear" w:color="auto" w:fill="auto"/>
          </w:tcPr>
          <w:p w14:paraId="6182175C" w14:textId="77777777" w:rsidR="0099696F" w:rsidRPr="00055827" w:rsidRDefault="00E9069F" w:rsidP="00946A95">
            <w:pPr>
              <w:pStyle w:val="ListBullet"/>
              <w:ind w:left="360"/>
              <w:jc w:val="left"/>
            </w:pPr>
            <w:r>
              <w:t xml:space="preserve">To comply with the Occupational Safety &amp; Health Act 1984 and all reasonable </w:t>
            </w:r>
            <w:proofErr w:type="gramStart"/>
            <w:r>
              <w:t>directive</w:t>
            </w:r>
            <w:proofErr w:type="gramEnd"/>
            <w:r>
              <w:t xml:space="preserve"> given in relation to health and safety</w:t>
            </w:r>
            <w:r w:rsidR="004A6A7B">
              <w:t xml:space="preserve"> at work, to ensure compliance with University and Legislative health and safety requirements</w:t>
            </w:r>
            <w:r>
              <w:t>.</w:t>
            </w:r>
          </w:p>
        </w:tc>
        <w:tc>
          <w:tcPr>
            <w:tcW w:w="4429" w:type="dxa"/>
            <w:tcBorders>
              <w:top w:val="single" w:sz="4" w:space="0" w:color="auto"/>
            </w:tcBorders>
            <w:shd w:val="clear" w:color="auto" w:fill="auto"/>
          </w:tcPr>
          <w:p w14:paraId="6182175D" w14:textId="77777777" w:rsidR="001C0A09" w:rsidRDefault="00E9069F" w:rsidP="009E2D66">
            <w:pPr>
              <w:pStyle w:val="ListBullet"/>
              <w:jc w:val="left"/>
            </w:pPr>
            <w:r>
              <w:t xml:space="preserve">To comply with the Occupational Safety &amp; Health Act 1984 and all reasonable </w:t>
            </w:r>
            <w:proofErr w:type="gramStart"/>
            <w:r>
              <w:t>directive</w:t>
            </w:r>
            <w:proofErr w:type="gramEnd"/>
            <w:r>
              <w:t xml:space="preserve"> given in relation to chemical management at work, to ensure compliance with University and Legislative health and safety requirements.</w:t>
            </w:r>
          </w:p>
          <w:p w14:paraId="6182175E" w14:textId="77777777" w:rsidR="0099696F" w:rsidRPr="00055827" w:rsidRDefault="00E9069F" w:rsidP="00946A95">
            <w:pPr>
              <w:pStyle w:val="ListBullet"/>
              <w:jc w:val="left"/>
            </w:pPr>
            <w:r>
              <w:t>To report all incidents, including those involving chemicals, via the C.H.A.R.M system.</w:t>
            </w:r>
          </w:p>
        </w:tc>
        <w:tc>
          <w:tcPr>
            <w:tcW w:w="2709" w:type="dxa"/>
            <w:tcBorders>
              <w:top w:val="single" w:sz="4" w:space="0" w:color="auto"/>
            </w:tcBorders>
            <w:shd w:val="clear" w:color="auto" w:fill="auto"/>
          </w:tcPr>
          <w:p w14:paraId="6182175F" w14:textId="77777777" w:rsidR="001966B1" w:rsidRDefault="001966B1" w:rsidP="001C0A09">
            <w:pPr>
              <w:spacing w:before="120"/>
              <w:jc w:val="left"/>
            </w:pPr>
          </w:p>
          <w:p w14:paraId="61821760" w14:textId="77777777" w:rsidR="001966B1" w:rsidRPr="001966B1" w:rsidRDefault="001966B1" w:rsidP="001966B1"/>
          <w:p w14:paraId="61821761" w14:textId="77777777" w:rsidR="001966B1" w:rsidRPr="001966B1" w:rsidRDefault="001966B1" w:rsidP="001966B1"/>
          <w:p w14:paraId="61821769" w14:textId="77777777" w:rsidR="001C0A09" w:rsidRPr="001966B1" w:rsidRDefault="001C0A09" w:rsidP="001966B1"/>
        </w:tc>
      </w:tr>
      <w:tr w:rsidR="0059373B" w14:paraId="61821770" w14:textId="77777777" w:rsidTr="00946A95">
        <w:tc>
          <w:tcPr>
            <w:tcW w:w="2538" w:type="dxa"/>
            <w:tcBorders>
              <w:bottom w:val="single" w:sz="4" w:space="0" w:color="auto"/>
            </w:tcBorders>
            <w:shd w:val="clear" w:color="auto" w:fill="auto"/>
          </w:tcPr>
          <w:p w14:paraId="6182176B" w14:textId="77777777" w:rsidR="00946A95" w:rsidRDefault="00E9069F" w:rsidP="00EB4CD3">
            <w:pPr>
              <w:spacing w:before="40" w:after="40"/>
              <w:jc w:val="left"/>
            </w:pPr>
            <w:r>
              <w:t>Dangerous Goods License Holders</w:t>
            </w:r>
          </w:p>
        </w:tc>
        <w:tc>
          <w:tcPr>
            <w:tcW w:w="3502" w:type="dxa"/>
            <w:tcBorders>
              <w:bottom w:val="single" w:sz="4" w:space="0" w:color="auto"/>
            </w:tcBorders>
            <w:shd w:val="clear" w:color="auto" w:fill="auto"/>
          </w:tcPr>
          <w:p w14:paraId="6182176C" w14:textId="77777777" w:rsidR="00946A95" w:rsidRDefault="00946A95" w:rsidP="00EB4CD3">
            <w:pPr>
              <w:pStyle w:val="ListBullet"/>
              <w:ind w:left="360"/>
              <w:jc w:val="left"/>
            </w:pPr>
          </w:p>
        </w:tc>
        <w:tc>
          <w:tcPr>
            <w:tcW w:w="4429" w:type="dxa"/>
            <w:tcBorders>
              <w:bottom w:val="single" w:sz="4" w:space="0" w:color="auto"/>
            </w:tcBorders>
            <w:shd w:val="clear" w:color="auto" w:fill="auto"/>
          </w:tcPr>
          <w:p w14:paraId="6182176D" w14:textId="77777777" w:rsidR="00946A95" w:rsidRDefault="00E9069F" w:rsidP="00EB4CD3">
            <w:pPr>
              <w:pStyle w:val="ListBullet"/>
              <w:jc w:val="left"/>
            </w:pPr>
            <w:r>
              <w:t xml:space="preserve">Maintain quantities of Dangerous Goods within license </w:t>
            </w:r>
            <w:proofErr w:type="gramStart"/>
            <w:r>
              <w:t>limitations, and</w:t>
            </w:r>
            <w:proofErr w:type="gramEnd"/>
            <w:r>
              <w:t xml:space="preserve"> adhere to other license conditions.</w:t>
            </w:r>
          </w:p>
          <w:p w14:paraId="6182176E" w14:textId="77777777" w:rsidR="00946A95" w:rsidRDefault="00E9069F" w:rsidP="00EB4CD3">
            <w:pPr>
              <w:pStyle w:val="ListBullet"/>
              <w:jc w:val="left"/>
            </w:pPr>
            <w:r>
              <w:t>Maintain a Dangerous Goods Manifest and Site Plan and make available to Emergency Services.</w:t>
            </w:r>
          </w:p>
        </w:tc>
        <w:tc>
          <w:tcPr>
            <w:tcW w:w="2709" w:type="dxa"/>
            <w:tcBorders>
              <w:bottom w:val="single" w:sz="4" w:space="0" w:color="auto"/>
            </w:tcBorders>
            <w:shd w:val="clear" w:color="auto" w:fill="auto"/>
          </w:tcPr>
          <w:p w14:paraId="6182176F" w14:textId="77777777" w:rsidR="00946A95" w:rsidRDefault="00946A95" w:rsidP="00EB4CD3">
            <w:pPr>
              <w:spacing w:before="120"/>
              <w:jc w:val="left"/>
            </w:pPr>
          </w:p>
        </w:tc>
      </w:tr>
      <w:tr w:rsidR="0059373B" w14:paraId="6182178A" w14:textId="77777777" w:rsidTr="003A782C">
        <w:tc>
          <w:tcPr>
            <w:tcW w:w="2538" w:type="dxa"/>
            <w:shd w:val="clear" w:color="auto" w:fill="auto"/>
          </w:tcPr>
          <w:p w14:paraId="61821771" w14:textId="059E8D7F" w:rsidR="00680970" w:rsidRDefault="00E9069F" w:rsidP="00946A95">
            <w:pPr>
              <w:spacing w:before="40" w:after="40"/>
              <w:jc w:val="left"/>
              <w:rPr>
                <w:rFonts w:eastAsiaTheme="minorEastAsia"/>
                <w:lang w:eastAsia="en-US"/>
              </w:rPr>
            </w:pPr>
            <w:r>
              <w:rPr>
                <w:rFonts w:eastAsiaTheme="minorEastAsia"/>
              </w:rPr>
              <w:lastRenderedPageBreak/>
              <w:t>Health</w:t>
            </w:r>
            <w:r w:rsidR="00AE71F5">
              <w:rPr>
                <w:rFonts w:eastAsiaTheme="minorEastAsia"/>
              </w:rPr>
              <w:t xml:space="preserve"> and </w:t>
            </w:r>
            <w:r w:rsidRPr="007C0D3C">
              <w:rPr>
                <w:rFonts w:eastAsiaTheme="minorEastAsia"/>
              </w:rPr>
              <w:t>Safety Department</w:t>
            </w:r>
          </w:p>
        </w:tc>
        <w:tc>
          <w:tcPr>
            <w:tcW w:w="3502" w:type="dxa"/>
            <w:shd w:val="clear" w:color="auto" w:fill="auto"/>
          </w:tcPr>
          <w:p w14:paraId="61821773" w14:textId="54FA889B" w:rsidR="00E425F1" w:rsidRPr="00817205" w:rsidRDefault="00E9069F" w:rsidP="00BE241C">
            <w:pPr>
              <w:keepLines w:val="0"/>
              <w:spacing w:before="120" w:after="200"/>
              <w:ind w:left="360"/>
              <w:jc w:val="left"/>
            </w:pPr>
            <w:r w:rsidRPr="00817205">
              <w:t>To provide specialist advice</w:t>
            </w:r>
            <w:r w:rsidR="000A1EF9">
              <w:t xml:space="preserve">, </w:t>
            </w:r>
            <w:r w:rsidR="0099696F">
              <w:t xml:space="preserve">regular </w:t>
            </w:r>
            <w:r w:rsidR="000A1EF9">
              <w:t>audit</w:t>
            </w:r>
            <w:r w:rsidR="00C94A4E">
              <w:t>ing, issue safety bulletins,</w:t>
            </w:r>
            <w:r w:rsidRPr="00817205">
              <w:t xml:space="preserve"> and support to areas in relation to Hazardous Substances, Dangerous Goods, </w:t>
            </w:r>
            <w:r w:rsidR="001B7B53">
              <w:t xml:space="preserve">Poisons, </w:t>
            </w:r>
            <w:r w:rsidRPr="00817205">
              <w:t>and Controlled Substances.</w:t>
            </w:r>
          </w:p>
          <w:p w14:paraId="61821774" w14:textId="2A577734" w:rsidR="0099696F" w:rsidRDefault="00E9069F" w:rsidP="00817205">
            <w:pPr>
              <w:keepLines w:val="0"/>
              <w:spacing w:before="120" w:after="200"/>
              <w:ind w:left="360"/>
              <w:jc w:val="left"/>
            </w:pPr>
            <w:r w:rsidRPr="00817205">
              <w:t xml:space="preserve">Co-ordinating and administering </w:t>
            </w:r>
            <w:r w:rsidR="00E425F1">
              <w:t xml:space="preserve">access to the Chemical Register via the </w:t>
            </w:r>
            <w:r w:rsidRPr="00817205">
              <w:t>ChemAlert Database</w:t>
            </w:r>
            <w:r>
              <w:t>, and the incident reporting system C.H.A.R.M.</w:t>
            </w:r>
            <w:r w:rsidR="00BE241C">
              <w:t xml:space="preserve"> </w:t>
            </w:r>
          </w:p>
          <w:p w14:paraId="61821776" w14:textId="1B5FC7EE" w:rsidR="0099696F" w:rsidRDefault="00E9069F" w:rsidP="00817205">
            <w:pPr>
              <w:keepLines w:val="0"/>
              <w:spacing w:before="120" w:after="200"/>
              <w:ind w:left="360"/>
              <w:jc w:val="left"/>
            </w:pPr>
            <w:r>
              <w:t xml:space="preserve">Coordinating </w:t>
            </w:r>
            <w:r w:rsidR="00BE241C">
              <w:t>Chemical Waste Disposal</w:t>
            </w:r>
            <w:r>
              <w:t>s</w:t>
            </w:r>
            <w:r w:rsidR="0099696F">
              <w:t xml:space="preserve">, and </w:t>
            </w:r>
            <w:r>
              <w:t>training on Dangerous Goods and Hazardous Substances handling.</w:t>
            </w:r>
          </w:p>
          <w:p w14:paraId="61821778" w14:textId="72EDCDF6" w:rsidR="00680970" w:rsidRPr="00817205" w:rsidRDefault="00E9069F" w:rsidP="00817205">
            <w:pPr>
              <w:keepLines w:val="0"/>
              <w:spacing w:before="120" w:after="200"/>
              <w:ind w:left="360"/>
              <w:jc w:val="left"/>
            </w:pPr>
            <w:r>
              <w:t xml:space="preserve">Reporting to statutory bodies as per Curtin’s </w:t>
            </w:r>
            <w:r w:rsidRPr="0099696F">
              <w:t>Incident and Hazard Reporting and Investigation Procedures</w:t>
            </w:r>
            <w:r>
              <w:t>.</w:t>
            </w:r>
          </w:p>
        </w:tc>
        <w:tc>
          <w:tcPr>
            <w:tcW w:w="4429" w:type="dxa"/>
            <w:shd w:val="clear" w:color="auto" w:fill="auto"/>
          </w:tcPr>
          <w:p w14:paraId="61821779" w14:textId="2378ECA6" w:rsidR="00DF2906" w:rsidRDefault="00E9069F" w:rsidP="003A782C">
            <w:pPr>
              <w:pStyle w:val="ListBullet"/>
              <w:ind w:left="360"/>
              <w:jc w:val="left"/>
            </w:pPr>
            <w:r w:rsidRPr="00680970">
              <w:t xml:space="preserve">Maintaining the Chemical </w:t>
            </w:r>
            <w:r w:rsidR="000958A2">
              <w:t>Management Plan</w:t>
            </w:r>
            <w:r w:rsidR="00E425F1">
              <w:t>,</w:t>
            </w:r>
            <w:r w:rsidRPr="00680970">
              <w:t xml:space="preserve"> related Guidelines</w:t>
            </w:r>
            <w:r w:rsidR="00E425F1">
              <w:t xml:space="preserve">, and information provided via the </w:t>
            </w:r>
            <w:hyperlink r:id="rId22" w:history="1">
              <w:r w:rsidR="00E425F1" w:rsidRPr="001A00CD">
                <w:rPr>
                  <w:rStyle w:val="Hyperlink"/>
                </w:rPr>
                <w:t>hazardous materials website</w:t>
              </w:r>
            </w:hyperlink>
            <w:r w:rsidR="001A00CD">
              <w:t>.</w:t>
            </w:r>
          </w:p>
          <w:p w14:paraId="6182177C" w14:textId="77777777" w:rsidR="00946A95" w:rsidRDefault="00E9069F" w:rsidP="003A782C">
            <w:pPr>
              <w:pStyle w:val="ListBullet"/>
              <w:ind w:left="360"/>
              <w:jc w:val="left"/>
            </w:pPr>
            <w:r>
              <w:t>Provide advice to area managers on compliance incidents and breaches.</w:t>
            </w:r>
          </w:p>
          <w:p w14:paraId="6182177D" w14:textId="77777777" w:rsidR="00FF0EFE" w:rsidRDefault="00E9069F" w:rsidP="00FF0EFE">
            <w:pPr>
              <w:pStyle w:val="ListBullet"/>
              <w:ind w:left="360"/>
              <w:jc w:val="left"/>
            </w:pPr>
            <w:r w:rsidRPr="000248CC">
              <w:t xml:space="preserve">Maintaining the Poisons </w:t>
            </w:r>
            <w:r>
              <w:t xml:space="preserve">Act </w:t>
            </w:r>
            <w:r w:rsidRPr="000248CC">
              <w:t>Compliance Management Plan and related Guidelines</w:t>
            </w:r>
          </w:p>
          <w:p w14:paraId="6182177E" w14:textId="77777777" w:rsidR="00FF0EFE" w:rsidRDefault="00E9069F" w:rsidP="00680970">
            <w:pPr>
              <w:keepLines w:val="0"/>
              <w:spacing w:before="120"/>
              <w:ind w:left="360"/>
              <w:jc w:val="left"/>
            </w:pPr>
            <w:r>
              <w:t>Issue advi</w:t>
            </w:r>
            <w:r w:rsidR="00323A2D">
              <w:t>c</w:t>
            </w:r>
            <w:r>
              <w:t xml:space="preserve">e </w:t>
            </w:r>
            <w:r w:rsidR="00323A2D">
              <w:t xml:space="preserve">to </w:t>
            </w:r>
            <w:r>
              <w:t xml:space="preserve">PF&amp;D </w:t>
            </w:r>
            <w:r w:rsidR="00F94072">
              <w:t xml:space="preserve">for the development and revision of </w:t>
            </w:r>
            <w:r>
              <w:t xml:space="preserve">Project Delivery Guidelines related to </w:t>
            </w:r>
            <w:r w:rsidR="00323A2D" w:rsidRPr="00323A2D">
              <w:t>Hazardous Substances and Dangerous Goods</w:t>
            </w:r>
            <w:r w:rsidR="00323A2D">
              <w:t>.</w:t>
            </w:r>
          </w:p>
          <w:p w14:paraId="6182177F" w14:textId="77777777" w:rsidR="001F3C75" w:rsidRDefault="00E9069F" w:rsidP="00680970">
            <w:pPr>
              <w:keepLines w:val="0"/>
              <w:spacing w:before="120"/>
              <w:ind w:left="360"/>
              <w:jc w:val="left"/>
            </w:pPr>
            <w:r>
              <w:t xml:space="preserve">Review and advise </w:t>
            </w:r>
            <w:r w:rsidR="00154243">
              <w:t xml:space="preserve">on </w:t>
            </w:r>
            <w:r>
              <w:t xml:space="preserve">Dangerous Goods Placards on Curtin’s </w:t>
            </w:r>
            <w:r w:rsidR="00154243">
              <w:t xml:space="preserve">sites and </w:t>
            </w:r>
            <w:r>
              <w:t>facilities so that correct information is visible to emergency services.</w:t>
            </w:r>
          </w:p>
          <w:p w14:paraId="61821780" w14:textId="77777777" w:rsidR="00F94072" w:rsidRPr="00680970" w:rsidRDefault="00F94072" w:rsidP="00680970">
            <w:pPr>
              <w:keepLines w:val="0"/>
              <w:spacing w:before="120"/>
              <w:ind w:left="360"/>
              <w:jc w:val="left"/>
            </w:pPr>
          </w:p>
          <w:p w14:paraId="61821785" w14:textId="44066CD5" w:rsidR="00680970" w:rsidRPr="000248CC" w:rsidRDefault="00680970" w:rsidP="00680970">
            <w:pPr>
              <w:pStyle w:val="ListBullet"/>
              <w:ind w:left="360"/>
              <w:jc w:val="left"/>
            </w:pPr>
          </w:p>
        </w:tc>
        <w:tc>
          <w:tcPr>
            <w:tcW w:w="2709" w:type="dxa"/>
            <w:shd w:val="clear" w:color="auto" w:fill="auto"/>
          </w:tcPr>
          <w:p w14:paraId="61821786" w14:textId="77777777" w:rsidR="00680970" w:rsidRDefault="00E9069F" w:rsidP="001C0A09">
            <w:pPr>
              <w:spacing w:before="120"/>
              <w:jc w:val="left"/>
            </w:pPr>
            <w:r w:rsidRPr="007C0D3C">
              <w:t>Yes – Can authorise the issue of guideline and management documents</w:t>
            </w:r>
            <w:r w:rsidR="007B0306">
              <w:t>.</w:t>
            </w:r>
          </w:p>
          <w:p w14:paraId="61821787" w14:textId="77777777" w:rsidR="00B77A8B" w:rsidRDefault="00B77A8B" w:rsidP="001C0A09">
            <w:pPr>
              <w:spacing w:before="120"/>
              <w:jc w:val="left"/>
            </w:pPr>
          </w:p>
          <w:p w14:paraId="61821788" w14:textId="77777777" w:rsidR="00B77A8B" w:rsidRDefault="00B77A8B" w:rsidP="001C0A09">
            <w:pPr>
              <w:spacing w:before="120"/>
              <w:jc w:val="left"/>
            </w:pPr>
          </w:p>
          <w:p w14:paraId="61821789" w14:textId="77777777" w:rsidR="00B77A8B" w:rsidRPr="00055827" w:rsidRDefault="00B77A8B" w:rsidP="001C0A09">
            <w:pPr>
              <w:spacing w:before="120"/>
              <w:jc w:val="left"/>
            </w:pPr>
          </w:p>
        </w:tc>
      </w:tr>
      <w:tr w:rsidR="0059373B" w14:paraId="61821791" w14:textId="77777777" w:rsidTr="003A782C">
        <w:tc>
          <w:tcPr>
            <w:tcW w:w="2538" w:type="dxa"/>
            <w:shd w:val="clear" w:color="auto" w:fill="auto"/>
          </w:tcPr>
          <w:p w14:paraId="6182178C" w14:textId="58AE666A" w:rsidR="001C0A09" w:rsidRPr="00C80930" w:rsidRDefault="00E9069F" w:rsidP="001C0A09">
            <w:pPr>
              <w:spacing w:before="40" w:after="40"/>
              <w:jc w:val="left"/>
              <w:rPr>
                <w:rFonts w:eastAsiaTheme="minorEastAsia"/>
                <w:lang w:eastAsia="en-US"/>
              </w:rPr>
            </w:pPr>
            <w:r w:rsidRPr="00C80930">
              <w:rPr>
                <w:rFonts w:eastAsiaTheme="minorEastAsia"/>
                <w:lang w:eastAsia="en-US"/>
              </w:rPr>
              <w:t>Emergency Management Department</w:t>
            </w:r>
          </w:p>
        </w:tc>
        <w:tc>
          <w:tcPr>
            <w:tcW w:w="3502" w:type="dxa"/>
            <w:shd w:val="clear" w:color="auto" w:fill="auto"/>
          </w:tcPr>
          <w:p w14:paraId="6182178E" w14:textId="0D3EA412" w:rsidR="001C0A09" w:rsidRPr="00C80930" w:rsidRDefault="00E9069F" w:rsidP="00A62C01">
            <w:pPr>
              <w:pStyle w:val="ListBullet"/>
              <w:ind w:left="360"/>
              <w:jc w:val="left"/>
            </w:pPr>
            <w:r w:rsidRPr="00C80930">
              <w:t xml:space="preserve">To co-ordinate any communication between Curtin and emergency authorities for the purpose of planning </w:t>
            </w:r>
            <w:r w:rsidR="00600EFB" w:rsidRPr="00C80930">
              <w:t>emergency response.</w:t>
            </w:r>
          </w:p>
        </w:tc>
        <w:tc>
          <w:tcPr>
            <w:tcW w:w="4429" w:type="dxa"/>
            <w:shd w:val="clear" w:color="auto" w:fill="auto"/>
          </w:tcPr>
          <w:p w14:paraId="6182178F" w14:textId="372901E2" w:rsidR="001C0A09" w:rsidRPr="00C80930" w:rsidRDefault="00E9069F" w:rsidP="001F3C75">
            <w:pPr>
              <w:pStyle w:val="ListBullet"/>
              <w:ind w:left="360"/>
              <w:jc w:val="left"/>
            </w:pPr>
            <w:r w:rsidRPr="00C80930">
              <w:t>To ensure emergency planning is undertaken</w:t>
            </w:r>
            <w:r w:rsidR="00385E53" w:rsidRPr="00C80930">
              <w:t>.</w:t>
            </w:r>
            <w:r w:rsidRPr="00C80930">
              <w:t xml:space="preserve"> </w:t>
            </w:r>
          </w:p>
        </w:tc>
        <w:tc>
          <w:tcPr>
            <w:tcW w:w="2709" w:type="dxa"/>
            <w:shd w:val="clear" w:color="auto" w:fill="auto"/>
          </w:tcPr>
          <w:p w14:paraId="61821790" w14:textId="3B3A0F8C" w:rsidR="001C0A09" w:rsidRPr="00C80930" w:rsidRDefault="00E9069F" w:rsidP="001C0A09">
            <w:pPr>
              <w:spacing w:before="120"/>
              <w:jc w:val="left"/>
            </w:pPr>
            <w:r w:rsidRPr="00C80930">
              <w:t>Yes – Can authorise the issue of guideline and management documents</w:t>
            </w:r>
            <w:r w:rsidR="007B0306" w:rsidRPr="00C80930">
              <w:t>.</w:t>
            </w:r>
            <w:r w:rsidRPr="00C80930">
              <w:t xml:space="preserve"> </w:t>
            </w:r>
          </w:p>
        </w:tc>
      </w:tr>
      <w:tr w:rsidR="0059373B" w14:paraId="61821796" w14:textId="77777777" w:rsidTr="003A782C">
        <w:tc>
          <w:tcPr>
            <w:tcW w:w="2538" w:type="dxa"/>
            <w:shd w:val="clear" w:color="auto" w:fill="auto"/>
          </w:tcPr>
          <w:p w14:paraId="61821792" w14:textId="3D733C89" w:rsidR="001C0A09" w:rsidRPr="00055827" w:rsidRDefault="00AE71F5" w:rsidP="001C0A09">
            <w:pPr>
              <w:spacing w:before="40" w:after="40"/>
              <w:jc w:val="left"/>
            </w:pPr>
            <w:r>
              <w:t>Hazardous Materials Governance Committee</w:t>
            </w:r>
          </w:p>
        </w:tc>
        <w:tc>
          <w:tcPr>
            <w:tcW w:w="3502" w:type="dxa"/>
            <w:shd w:val="clear" w:color="auto" w:fill="auto"/>
          </w:tcPr>
          <w:p w14:paraId="61821793" w14:textId="08E622F9" w:rsidR="001C0A09" w:rsidRPr="00055827" w:rsidRDefault="00E9069F" w:rsidP="00946A95">
            <w:pPr>
              <w:pStyle w:val="ListBullet"/>
              <w:ind w:left="360"/>
              <w:jc w:val="left"/>
            </w:pPr>
            <w:r>
              <w:t>To provide advice</w:t>
            </w:r>
            <w:r w:rsidR="00897129">
              <w:t xml:space="preserve"> </w:t>
            </w:r>
            <w:r w:rsidR="00600EFB">
              <w:t xml:space="preserve">and </w:t>
            </w:r>
            <w:proofErr w:type="gramStart"/>
            <w:r w:rsidR="002E7A8B">
              <w:t xml:space="preserve">governance  </w:t>
            </w:r>
            <w:r>
              <w:t>to</w:t>
            </w:r>
            <w:proofErr w:type="gramEnd"/>
            <w:r>
              <w:t xml:space="preserve"> the University on matters relating to</w:t>
            </w:r>
            <w:r w:rsidR="00817205">
              <w:t xml:space="preserve"> </w:t>
            </w:r>
            <w:r w:rsidR="00600EFB">
              <w:t>Hazardous Materials</w:t>
            </w:r>
          </w:p>
        </w:tc>
        <w:tc>
          <w:tcPr>
            <w:tcW w:w="4429" w:type="dxa"/>
            <w:shd w:val="clear" w:color="auto" w:fill="auto"/>
          </w:tcPr>
          <w:p w14:paraId="61821794" w14:textId="77777777" w:rsidR="001C0A09" w:rsidRPr="00055827" w:rsidRDefault="001C0A09" w:rsidP="00680970">
            <w:pPr>
              <w:pStyle w:val="ListBullet"/>
              <w:ind w:left="360"/>
              <w:jc w:val="left"/>
            </w:pPr>
          </w:p>
        </w:tc>
        <w:tc>
          <w:tcPr>
            <w:tcW w:w="2709" w:type="dxa"/>
            <w:shd w:val="clear" w:color="auto" w:fill="auto"/>
          </w:tcPr>
          <w:p w14:paraId="61821795" w14:textId="77777777" w:rsidR="001C0A09" w:rsidRPr="00055827" w:rsidRDefault="00E9069F" w:rsidP="001C0A09">
            <w:pPr>
              <w:spacing w:before="120"/>
              <w:jc w:val="left"/>
            </w:pPr>
            <w:r w:rsidRPr="00055827">
              <w:t>Advisory</w:t>
            </w:r>
          </w:p>
        </w:tc>
      </w:tr>
      <w:tr w:rsidR="0059373B" w14:paraId="6182179F" w14:textId="77777777" w:rsidTr="003A782C">
        <w:tc>
          <w:tcPr>
            <w:tcW w:w="2538" w:type="dxa"/>
            <w:shd w:val="clear" w:color="auto" w:fill="auto"/>
          </w:tcPr>
          <w:p w14:paraId="61821797" w14:textId="7FD85DB4" w:rsidR="001C0A09" w:rsidRPr="00055827" w:rsidRDefault="00E9069F" w:rsidP="001C0A09">
            <w:pPr>
              <w:spacing w:before="40" w:after="40"/>
              <w:jc w:val="left"/>
            </w:pPr>
            <w:r w:rsidRPr="00055827">
              <w:rPr>
                <w:rFonts w:eastAsiaTheme="minorEastAsia"/>
                <w:lang w:eastAsia="en-US"/>
              </w:rPr>
              <w:lastRenderedPageBreak/>
              <w:t xml:space="preserve">Curtin </w:t>
            </w:r>
            <w:r w:rsidR="00600EFB" w:rsidRPr="00600EFB">
              <w:rPr>
                <w:rFonts w:eastAsiaTheme="minorEastAsia"/>
                <w:lang w:eastAsia="en-US"/>
              </w:rPr>
              <w:t xml:space="preserve">Properties, Facilities &amp; Development </w:t>
            </w:r>
            <w:r w:rsidR="00600EFB">
              <w:rPr>
                <w:rFonts w:eastAsiaTheme="minorEastAsia"/>
                <w:lang w:eastAsia="en-US"/>
              </w:rPr>
              <w:t>(PF&amp;D)</w:t>
            </w:r>
          </w:p>
        </w:tc>
        <w:tc>
          <w:tcPr>
            <w:tcW w:w="3502" w:type="dxa"/>
            <w:shd w:val="clear" w:color="auto" w:fill="auto"/>
          </w:tcPr>
          <w:p w14:paraId="61821798" w14:textId="77777777" w:rsidR="00842683" w:rsidRDefault="00E9069F" w:rsidP="00842683">
            <w:pPr>
              <w:pStyle w:val="ListBullet"/>
              <w:ind w:left="360"/>
              <w:jc w:val="left"/>
            </w:pPr>
            <w:r>
              <w:t xml:space="preserve">To deliver new builds that are compliant with Health and Safety and Dangerous Goods legislation in consultation with facility users. </w:t>
            </w:r>
          </w:p>
          <w:p w14:paraId="61821799" w14:textId="05880B9B" w:rsidR="001C0A09" w:rsidRPr="00055827" w:rsidRDefault="00E9069F" w:rsidP="00842683">
            <w:pPr>
              <w:pStyle w:val="ListBullet"/>
              <w:ind w:left="360"/>
              <w:jc w:val="left"/>
            </w:pPr>
            <w:r w:rsidRPr="00337E3F">
              <w:t xml:space="preserve">To modify non-compliant infrastructure in consultation with stakeholders where the non-compliance has been </w:t>
            </w:r>
            <w:r w:rsidR="00944204">
              <w:t xml:space="preserve">assessed </w:t>
            </w:r>
            <w:r w:rsidRPr="00337E3F">
              <w:t>by subject matter experts as exceeding Curtin’s Risk Appetite.</w:t>
            </w:r>
          </w:p>
        </w:tc>
        <w:tc>
          <w:tcPr>
            <w:tcW w:w="4429" w:type="dxa"/>
            <w:shd w:val="clear" w:color="auto" w:fill="auto"/>
          </w:tcPr>
          <w:p w14:paraId="6182179A" w14:textId="77777777" w:rsidR="000B1F25" w:rsidRDefault="00E9069F" w:rsidP="000B1F25">
            <w:pPr>
              <w:pStyle w:val="ListBullet"/>
              <w:ind w:left="360"/>
              <w:jc w:val="left"/>
            </w:pPr>
            <w:r>
              <w:t xml:space="preserve">To engage Hazardous Substances and/or Dangerous Goods subject matter experts to provide advice on capital projects that deliver or impact facilities where Hazardous Substances / Dangerous Goods are stored or handled. </w:t>
            </w:r>
          </w:p>
          <w:p w14:paraId="6182179B" w14:textId="77777777" w:rsidR="000B1F25" w:rsidRDefault="00E9069F" w:rsidP="000B1F25">
            <w:pPr>
              <w:pStyle w:val="ListBullet"/>
              <w:ind w:left="360"/>
              <w:jc w:val="left"/>
            </w:pPr>
            <w:r>
              <w:t>To maintain the Project Delivery Guidelines including those related to Hazardous Substances and Dangerous Goods which will serve to guide contractors delivering projects impacting the above spaces.</w:t>
            </w:r>
          </w:p>
          <w:p w14:paraId="6182179C" w14:textId="77777777" w:rsidR="00BA6C90" w:rsidRDefault="00E9069F" w:rsidP="000B1F25">
            <w:pPr>
              <w:pStyle w:val="ListBullet"/>
              <w:ind w:left="360"/>
              <w:jc w:val="left"/>
            </w:pPr>
            <w:r>
              <w:t>To engage Hazardous Substances and/or Dangerous Goods subject matter experts to review and risk assess current infrastructure as needed where Hazardous Substances / Dangerous Goods are handled or stored.</w:t>
            </w:r>
          </w:p>
          <w:p w14:paraId="6182179D" w14:textId="2C2C393E" w:rsidR="001C0A09" w:rsidRPr="00055827" w:rsidRDefault="00E9069F" w:rsidP="000B1F25">
            <w:pPr>
              <w:pStyle w:val="ListBullet"/>
              <w:ind w:left="360"/>
              <w:jc w:val="left"/>
            </w:pPr>
            <w:r>
              <w:t xml:space="preserve">To ensure </w:t>
            </w:r>
            <w:r w:rsidRPr="000B760C">
              <w:t xml:space="preserve">Curtin leases require tenants </w:t>
            </w:r>
            <w:r>
              <w:t xml:space="preserve">to </w:t>
            </w:r>
            <w:r w:rsidRPr="000B760C">
              <w:t xml:space="preserve">comply with Curtin’s Chemical Management Plan by including a clause requiring tenants to report chemical stocks to the nominated Facility Manager or other Curtin representative in the format specified by that representative.  </w:t>
            </w:r>
          </w:p>
        </w:tc>
        <w:tc>
          <w:tcPr>
            <w:tcW w:w="2709" w:type="dxa"/>
            <w:shd w:val="clear" w:color="auto" w:fill="auto"/>
          </w:tcPr>
          <w:p w14:paraId="6182179E" w14:textId="77777777" w:rsidR="001C0A09" w:rsidRPr="00055827" w:rsidRDefault="00E9069F" w:rsidP="001C0A09">
            <w:pPr>
              <w:spacing w:before="120"/>
              <w:jc w:val="left"/>
            </w:pPr>
            <w:r w:rsidRPr="00055827">
              <w:t>Yes</w:t>
            </w:r>
          </w:p>
        </w:tc>
      </w:tr>
      <w:tr w:rsidR="0059373B" w14:paraId="618217AA" w14:textId="77777777" w:rsidTr="003A782C">
        <w:tc>
          <w:tcPr>
            <w:tcW w:w="2538" w:type="dxa"/>
            <w:shd w:val="clear" w:color="auto" w:fill="auto"/>
          </w:tcPr>
          <w:p w14:paraId="618217A0" w14:textId="40E9332F" w:rsidR="001C0A09" w:rsidRDefault="00E9069F" w:rsidP="001C0A09">
            <w:pPr>
              <w:spacing w:before="40" w:after="40"/>
              <w:jc w:val="left"/>
              <w:rPr>
                <w:rFonts w:eastAsiaTheme="minorEastAsia"/>
                <w:lang w:eastAsia="en-US"/>
              </w:rPr>
            </w:pPr>
            <w:r>
              <w:rPr>
                <w:rFonts w:eastAsiaTheme="minorEastAsia"/>
                <w:lang w:eastAsia="en-US"/>
              </w:rPr>
              <w:t xml:space="preserve">Research </w:t>
            </w:r>
            <w:r w:rsidR="00016EC8">
              <w:rPr>
                <w:rFonts w:eastAsiaTheme="minorEastAsia"/>
                <w:lang w:eastAsia="en-US"/>
              </w:rPr>
              <w:t>Office at Curtin</w:t>
            </w:r>
          </w:p>
          <w:p w14:paraId="618217A1" w14:textId="77777777" w:rsidR="001C0A09" w:rsidRDefault="001C0A09" w:rsidP="001C0A09">
            <w:pPr>
              <w:spacing w:before="40" w:after="40"/>
              <w:jc w:val="left"/>
            </w:pPr>
          </w:p>
        </w:tc>
        <w:tc>
          <w:tcPr>
            <w:tcW w:w="3502" w:type="dxa"/>
            <w:shd w:val="clear" w:color="auto" w:fill="auto"/>
          </w:tcPr>
          <w:p w14:paraId="618217A2" w14:textId="5697E03F" w:rsidR="001C0A09" w:rsidRDefault="00E9069F" w:rsidP="0079602F">
            <w:pPr>
              <w:pStyle w:val="ListBullet"/>
              <w:ind w:left="351"/>
              <w:jc w:val="left"/>
            </w:pPr>
            <w:r w:rsidRPr="00055827">
              <w:t>To provide advice and guidance on the</w:t>
            </w:r>
            <w:r w:rsidR="00F94072">
              <w:t xml:space="preserve"> </w:t>
            </w:r>
            <w:r w:rsidRPr="00055827">
              <w:t xml:space="preserve">appropriate management </w:t>
            </w:r>
            <w:r w:rsidR="00C7325E">
              <w:t xml:space="preserve">of biological and radioactive </w:t>
            </w:r>
            <w:r w:rsidR="000958A2">
              <w:t xml:space="preserve">materials </w:t>
            </w:r>
          </w:p>
          <w:p w14:paraId="618217A4" w14:textId="58A371E9" w:rsidR="001C0A09" w:rsidRPr="00055827" w:rsidRDefault="001C0A09" w:rsidP="001B7B53">
            <w:pPr>
              <w:pStyle w:val="ListBullet"/>
              <w:ind w:left="351"/>
              <w:jc w:val="left"/>
            </w:pPr>
          </w:p>
        </w:tc>
        <w:tc>
          <w:tcPr>
            <w:tcW w:w="4429" w:type="dxa"/>
            <w:shd w:val="clear" w:color="auto" w:fill="auto"/>
          </w:tcPr>
          <w:p w14:paraId="618217A5" w14:textId="77777777" w:rsidR="00E62BF3" w:rsidRDefault="00E9069F" w:rsidP="0079602F">
            <w:pPr>
              <w:pStyle w:val="ListBullet"/>
              <w:ind w:left="351"/>
              <w:jc w:val="left"/>
            </w:pPr>
            <w:r>
              <w:t>Maintaining the Radiation Safety Compliance Management Plan and related Guidelines</w:t>
            </w:r>
          </w:p>
          <w:p w14:paraId="618217A6" w14:textId="2F0B1ABA" w:rsidR="001C0A09" w:rsidRPr="00055827" w:rsidRDefault="001C0A09" w:rsidP="0079602F">
            <w:pPr>
              <w:pStyle w:val="ListBullet"/>
              <w:ind w:left="351"/>
              <w:jc w:val="left"/>
            </w:pPr>
          </w:p>
        </w:tc>
        <w:tc>
          <w:tcPr>
            <w:tcW w:w="2709" w:type="dxa"/>
            <w:shd w:val="clear" w:color="auto" w:fill="auto"/>
          </w:tcPr>
          <w:p w14:paraId="618217A7" w14:textId="77777777" w:rsidR="00E62BF3" w:rsidRDefault="00E9069F" w:rsidP="00C7325E">
            <w:pPr>
              <w:spacing w:before="120"/>
              <w:jc w:val="left"/>
            </w:pPr>
            <w:r>
              <w:t>Yes – authorises use of radioactive chemicals</w:t>
            </w:r>
          </w:p>
          <w:p w14:paraId="618217A8" w14:textId="77777777" w:rsidR="00E62BF3" w:rsidRDefault="00E62BF3" w:rsidP="00C7325E">
            <w:pPr>
              <w:spacing w:before="120"/>
              <w:jc w:val="left"/>
            </w:pPr>
          </w:p>
          <w:p w14:paraId="618217A9" w14:textId="580D30F4" w:rsidR="001C0A09" w:rsidRPr="00055827" w:rsidRDefault="001C0A09" w:rsidP="00C7325E">
            <w:pPr>
              <w:spacing w:before="120"/>
              <w:jc w:val="left"/>
            </w:pPr>
          </w:p>
        </w:tc>
      </w:tr>
      <w:tr w:rsidR="0059373B" w14:paraId="618217B1" w14:textId="77777777" w:rsidTr="003A782C">
        <w:tc>
          <w:tcPr>
            <w:tcW w:w="2538" w:type="dxa"/>
            <w:shd w:val="clear" w:color="auto" w:fill="auto"/>
          </w:tcPr>
          <w:p w14:paraId="618217AB" w14:textId="77777777" w:rsidR="000A1EF9" w:rsidRDefault="00E9069F" w:rsidP="001C0A09">
            <w:pPr>
              <w:spacing w:before="40" w:after="40"/>
              <w:jc w:val="left"/>
              <w:rPr>
                <w:rFonts w:eastAsiaTheme="minorEastAsia"/>
                <w:lang w:eastAsia="en-US"/>
              </w:rPr>
            </w:pPr>
            <w:r>
              <w:rPr>
                <w:rFonts w:eastAsiaTheme="minorEastAsia"/>
                <w:lang w:eastAsia="en-US"/>
              </w:rPr>
              <w:t>Compliance Officers</w:t>
            </w:r>
          </w:p>
        </w:tc>
        <w:tc>
          <w:tcPr>
            <w:tcW w:w="3502" w:type="dxa"/>
            <w:shd w:val="clear" w:color="auto" w:fill="auto"/>
          </w:tcPr>
          <w:p w14:paraId="618217AC" w14:textId="0D1BE340" w:rsidR="000A1EF9" w:rsidRPr="00055827" w:rsidRDefault="00E9069F" w:rsidP="003A782C">
            <w:pPr>
              <w:pStyle w:val="ListBullet"/>
              <w:ind w:left="360"/>
              <w:jc w:val="left"/>
            </w:pPr>
            <w:r w:rsidRPr="003A782C">
              <w:t>Ensuring compliance with the relevant legislation and reporting to regulators as required</w:t>
            </w:r>
            <w:r w:rsidR="00A11327">
              <w:t xml:space="preserve"> (as per </w:t>
            </w:r>
            <w:hyperlink r:id="rId23" w:history="1">
              <w:r w:rsidR="00A11327" w:rsidRPr="00AE1CCE">
                <w:rPr>
                  <w:rStyle w:val="Hyperlink"/>
                  <w:i/>
                </w:rPr>
                <w:t>Compliance Procedures</w:t>
              </w:r>
            </w:hyperlink>
            <w:r w:rsidR="00A11327">
              <w:t>).</w:t>
            </w:r>
            <w:r w:rsidRPr="00055827">
              <w:t xml:space="preserve"> </w:t>
            </w:r>
          </w:p>
        </w:tc>
        <w:tc>
          <w:tcPr>
            <w:tcW w:w="4429" w:type="dxa"/>
            <w:shd w:val="clear" w:color="auto" w:fill="auto"/>
          </w:tcPr>
          <w:p w14:paraId="618217AD" w14:textId="77777777" w:rsidR="000958A2" w:rsidRDefault="00E9069F" w:rsidP="000958A2">
            <w:pPr>
              <w:pStyle w:val="ListBullet"/>
              <w:ind w:left="360"/>
              <w:jc w:val="left"/>
            </w:pPr>
            <w:r w:rsidRPr="000248CC">
              <w:t xml:space="preserve">Maintaining the </w:t>
            </w:r>
            <w:r w:rsidR="00AE1CCE">
              <w:t xml:space="preserve">Compliance Risk Assessments and </w:t>
            </w:r>
            <w:r w:rsidRPr="000248CC">
              <w:t>Compliance Management Plan</w:t>
            </w:r>
            <w:r>
              <w:t>s</w:t>
            </w:r>
            <w:r w:rsidRPr="000248CC">
              <w:t xml:space="preserve"> </w:t>
            </w:r>
            <w:r>
              <w:t>for relevant Legislation for example Defence Trade, Poisons, Radiation and Dangerous Goods.</w:t>
            </w:r>
          </w:p>
          <w:p w14:paraId="618217AF" w14:textId="01E9C33A" w:rsidR="000A1EF9" w:rsidRPr="000248CC" w:rsidRDefault="00E9069F" w:rsidP="003A782C">
            <w:pPr>
              <w:pStyle w:val="ListBullet"/>
              <w:ind w:left="360"/>
              <w:jc w:val="left"/>
            </w:pPr>
            <w:r>
              <w:t xml:space="preserve">Monitor Legislation within area of responsibility for updates and </w:t>
            </w:r>
            <w:r w:rsidR="00946A95">
              <w:t>coordinate required actions with Curtin’s relevant Offices and Departments.</w:t>
            </w:r>
          </w:p>
        </w:tc>
        <w:tc>
          <w:tcPr>
            <w:tcW w:w="2709" w:type="dxa"/>
            <w:shd w:val="clear" w:color="auto" w:fill="auto"/>
          </w:tcPr>
          <w:p w14:paraId="618217B0" w14:textId="77777777" w:rsidR="000A1EF9" w:rsidRDefault="00E9069F" w:rsidP="001C0A09">
            <w:pPr>
              <w:spacing w:before="120"/>
              <w:jc w:val="left"/>
            </w:pPr>
            <w:r>
              <w:t>Yes</w:t>
            </w:r>
            <w:r w:rsidR="005B0D24">
              <w:t xml:space="preserve">                                                                                                                                            </w:t>
            </w:r>
          </w:p>
        </w:tc>
      </w:tr>
    </w:tbl>
    <w:p w14:paraId="618217B2" w14:textId="77777777" w:rsidR="00055827" w:rsidRPr="00055827" w:rsidRDefault="00055827" w:rsidP="00055827">
      <w:pPr>
        <w:tabs>
          <w:tab w:val="left" w:pos="709"/>
        </w:tabs>
        <w:spacing w:before="45"/>
        <w:ind w:left="822" w:right="113" w:hanging="709"/>
        <w:rPr>
          <w:sz w:val="16"/>
          <w:szCs w:val="16"/>
        </w:rPr>
      </w:pPr>
    </w:p>
    <w:p w14:paraId="618217B3" w14:textId="77777777" w:rsidR="00E27BFA" w:rsidRDefault="00E27BFA" w:rsidP="00E27BFA">
      <w:pPr>
        <w:sectPr w:rsidR="00E27BFA" w:rsidSect="001966B1">
          <w:headerReference w:type="first" r:id="rId24"/>
          <w:pgSz w:w="15840" w:h="12240" w:orient="landscape"/>
          <w:pgMar w:top="1888" w:right="1383" w:bottom="1418" w:left="1418" w:header="709" w:footer="720" w:gutter="0"/>
          <w:cols w:space="709"/>
          <w:titlePg/>
          <w:docGrid w:linePitch="326"/>
        </w:sectPr>
      </w:pPr>
    </w:p>
    <w:p w14:paraId="618217B4" w14:textId="77777777" w:rsidR="003E319D" w:rsidRDefault="00E9069F" w:rsidP="003A782C">
      <w:pPr>
        <w:pStyle w:val="Heading1"/>
        <w:numPr>
          <w:ilvl w:val="0"/>
          <w:numId w:val="0"/>
        </w:numPr>
        <w:tabs>
          <w:tab w:val="clear" w:pos="851"/>
          <w:tab w:val="left" w:pos="426"/>
        </w:tabs>
      </w:pPr>
      <w:bookmarkStart w:id="15" w:name="_Toc19005485"/>
      <w:bookmarkStart w:id="16" w:name="_Toc101438940"/>
      <w:r>
        <w:lastRenderedPageBreak/>
        <w:t>2.</w:t>
      </w:r>
      <w:r>
        <w:tab/>
        <w:t>Legislation &amp; Licensing</w:t>
      </w:r>
      <w:bookmarkEnd w:id="15"/>
      <w:bookmarkEnd w:id="16"/>
    </w:p>
    <w:p w14:paraId="618217B5" w14:textId="77777777" w:rsidR="003E319D" w:rsidRDefault="00E9069F" w:rsidP="005E44A4">
      <w:pPr>
        <w:pStyle w:val="Heading2"/>
      </w:pPr>
      <w:bookmarkStart w:id="17" w:name="_Toc19005486"/>
      <w:bookmarkStart w:id="18" w:name="_Toc101438941"/>
      <w:r>
        <w:t>2.1   Acts &amp; Regulations</w:t>
      </w:r>
      <w:bookmarkEnd w:id="17"/>
      <w:bookmarkEnd w:id="18"/>
    </w:p>
    <w:p w14:paraId="618217B6" w14:textId="77777777" w:rsidR="003E319D" w:rsidRDefault="00E9069F" w:rsidP="00E27BFA">
      <w:r>
        <w:t xml:space="preserve">The State and Commonwealth legislation that governs the use, storage, </w:t>
      </w:r>
      <w:proofErr w:type="gramStart"/>
      <w:r>
        <w:t>handling</w:t>
      </w:r>
      <w:proofErr w:type="gramEnd"/>
      <w:r>
        <w:t xml:space="preserve"> and disposal of chemicals is complex and considerable. The following list represents the Acts and Regulations that may be applicable to Curtin University They can be accessed by the following websites. </w:t>
      </w:r>
    </w:p>
    <w:p w14:paraId="618217B7" w14:textId="3EA7F3B3" w:rsidR="003E319D" w:rsidRDefault="00E9069F" w:rsidP="004C377B">
      <w:pPr>
        <w:pStyle w:val="Heading3"/>
      </w:pPr>
      <w:bookmarkStart w:id="19" w:name="_Toc19005487"/>
      <w:r>
        <w:t xml:space="preserve">2.1.1   </w:t>
      </w:r>
      <w:r w:rsidRPr="00B86DBE">
        <w:t>WA State Law</w:t>
      </w:r>
      <w:bookmarkEnd w:id="19"/>
      <w:r w:rsidRPr="00B86DBE">
        <w:t xml:space="preserve">   </w:t>
      </w:r>
    </w:p>
    <w:p w14:paraId="618217B8" w14:textId="77777777" w:rsidR="001A00CD" w:rsidRPr="004646C6" w:rsidRDefault="00E9069F" w:rsidP="003A782C">
      <w:pPr>
        <w:pStyle w:val="Bullet1"/>
        <w:numPr>
          <w:ilvl w:val="0"/>
          <w:numId w:val="0"/>
        </w:numPr>
        <w:ind w:left="284"/>
      </w:pPr>
      <w:r>
        <w:t xml:space="preserve">Accessible </w:t>
      </w:r>
      <w:r w:rsidR="00F62F1D">
        <w:t>via the</w:t>
      </w:r>
      <w:hyperlink r:id="rId25" w:history="1">
        <w:r w:rsidR="00F62F1D" w:rsidRPr="00F62F1D">
          <w:rPr>
            <w:rStyle w:val="Hyperlink"/>
          </w:rPr>
          <w:t xml:space="preserve"> State Law Publisher</w:t>
        </w:r>
      </w:hyperlink>
      <w:r w:rsidR="00F62F1D">
        <w:t>.</w:t>
      </w:r>
    </w:p>
    <w:p w14:paraId="618217B9" w14:textId="77777777" w:rsidR="003E319D" w:rsidRPr="00BA2D8A" w:rsidRDefault="00E9069F" w:rsidP="002D2118">
      <w:pPr>
        <w:pStyle w:val="Bullet1"/>
      </w:pPr>
      <w:r w:rsidRPr="00BA2D8A">
        <w:t>Occupational Safety and Health Act (1984)</w:t>
      </w:r>
    </w:p>
    <w:p w14:paraId="618217BA" w14:textId="77777777" w:rsidR="003E319D" w:rsidRPr="004646C6" w:rsidRDefault="00E9069F" w:rsidP="00391E62">
      <w:pPr>
        <w:pStyle w:val="Bullet1"/>
      </w:pPr>
      <w:r w:rsidRPr="004646C6">
        <w:t>Occupational Safety and Health Regulations (1996)</w:t>
      </w:r>
    </w:p>
    <w:p w14:paraId="618217BB" w14:textId="77777777" w:rsidR="003E319D" w:rsidRPr="004646C6" w:rsidRDefault="00E9069F" w:rsidP="00F614A2">
      <w:pPr>
        <w:pStyle w:val="Bullet1"/>
      </w:pPr>
      <w:r w:rsidRPr="004646C6">
        <w:t>Dangerous Goods Safety Act (2004)</w:t>
      </w:r>
    </w:p>
    <w:p w14:paraId="618217BC" w14:textId="77777777" w:rsidR="003E319D" w:rsidRPr="004646C6" w:rsidRDefault="00E9069F" w:rsidP="00F614A2">
      <w:pPr>
        <w:pStyle w:val="Bullet1"/>
      </w:pPr>
      <w:r w:rsidRPr="004646C6">
        <w:t>Dangerous Goods Safety (General) Regulations (2007)</w:t>
      </w:r>
    </w:p>
    <w:p w14:paraId="618217BD" w14:textId="77777777" w:rsidR="003E319D" w:rsidRPr="004646C6" w:rsidRDefault="00E9069F" w:rsidP="00F614A2">
      <w:pPr>
        <w:pStyle w:val="Bullet1"/>
      </w:pPr>
      <w:r w:rsidRPr="004646C6">
        <w:t xml:space="preserve">Dangerous Goods Safety (Storage and Handling of Non-explosives) Regulations (2007) </w:t>
      </w:r>
    </w:p>
    <w:p w14:paraId="618217BE" w14:textId="77777777" w:rsidR="003E319D" w:rsidRPr="00D8110B" w:rsidRDefault="00E9069F" w:rsidP="00F614A2">
      <w:pPr>
        <w:pStyle w:val="Bullet1"/>
      </w:pPr>
      <w:r w:rsidRPr="004646C6">
        <w:t>Dangerous Goods Safety (Security Risk</w:t>
      </w:r>
      <w:r w:rsidR="00D8110B">
        <w:t xml:space="preserve"> Substances) Regulations (2007)</w:t>
      </w:r>
    </w:p>
    <w:p w14:paraId="618217BF" w14:textId="4C3CEF85" w:rsidR="003E319D" w:rsidRPr="004646C6" w:rsidRDefault="00E9069F" w:rsidP="00F614A2">
      <w:pPr>
        <w:pStyle w:val="Bullet1"/>
      </w:pPr>
      <w:r>
        <w:t xml:space="preserve">Medicines and </w:t>
      </w:r>
      <w:r w:rsidRPr="004646C6">
        <w:t>Poisons Act (</w:t>
      </w:r>
      <w:r>
        <w:t>2014</w:t>
      </w:r>
      <w:r w:rsidRPr="004646C6">
        <w:t>)</w:t>
      </w:r>
    </w:p>
    <w:p w14:paraId="618217C0" w14:textId="58BDA4D2" w:rsidR="003E319D" w:rsidRPr="004646C6" w:rsidRDefault="00E9069F" w:rsidP="00AA617A">
      <w:pPr>
        <w:pStyle w:val="Bullet1"/>
      </w:pPr>
      <w:r>
        <w:t xml:space="preserve">Medicines and </w:t>
      </w:r>
      <w:r w:rsidRPr="004646C6">
        <w:t>Poisons Regulations (</w:t>
      </w:r>
      <w:r>
        <w:t>2016</w:t>
      </w:r>
      <w:r w:rsidRPr="004646C6">
        <w:t>)</w:t>
      </w:r>
    </w:p>
    <w:p w14:paraId="618217C1" w14:textId="77777777" w:rsidR="003E319D" w:rsidRPr="004646C6" w:rsidRDefault="00E9069F">
      <w:pPr>
        <w:pStyle w:val="Bullet1"/>
      </w:pPr>
      <w:r w:rsidRPr="004646C6">
        <w:t>Agricultural and Veterinary Chemicals Act (1995)</w:t>
      </w:r>
    </w:p>
    <w:p w14:paraId="618217C2" w14:textId="77777777" w:rsidR="003E319D" w:rsidRPr="004646C6" w:rsidRDefault="00E9069F">
      <w:pPr>
        <w:pStyle w:val="Bullet1"/>
      </w:pPr>
      <w:r w:rsidRPr="004646C6">
        <w:t>Environmental Protection Act (1986)</w:t>
      </w:r>
    </w:p>
    <w:p w14:paraId="618217C3" w14:textId="77777777" w:rsidR="003E319D" w:rsidRPr="004646C6" w:rsidRDefault="00E9069F">
      <w:pPr>
        <w:pStyle w:val="Bullet1"/>
      </w:pPr>
      <w:r w:rsidRPr="004646C6">
        <w:t>Environmental Protection (Controlled Waste) Regulations (2004)</w:t>
      </w:r>
    </w:p>
    <w:p w14:paraId="618217C4" w14:textId="77777777" w:rsidR="003E319D" w:rsidRPr="00AA617A" w:rsidRDefault="00E9069F">
      <w:pPr>
        <w:pStyle w:val="Bullet1"/>
      </w:pPr>
      <w:r w:rsidRPr="00AA617A">
        <w:t>Health (Drugs and Allied Substances) Regulations (1961)</w:t>
      </w:r>
    </w:p>
    <w:p w14:paraId="618217C5" w14:textId="77777777" w:rsidR="003E319D" w:rsidRPr="004646C6" w:rsidRDefault="00E9069F">
      <w:pPr>
        <w:pStyle w:val="Bullet1"/>
      </w:pPr>
      <w:r w:rsidRPr="004646C6">
        <w:t>Misuse of Drugs Act (1981)</w:t>
      </w:r>
    </w:p>
    <w:p w14:paraId="618217C6" w14:textId="77777777" w:rsidR="003E319D" w:rsidRPr="004646C6" w:rsidRDefault="00E9069F">
      <w:pPr>
        <w:pStyle w:val="Bullet1"/>
      </w:pPr>
      <w:r w:rsidRPr="004646C6">
        <w:t>Misuse of Drugs Regulations (1982)</w:t>
      </w:r>
    </w:p>
    <w:p w14:paraId="618217C7" w14:textId="77777777" w:rsidR="003E319D" w:rsidRPr="004646C6" w:rsidRDefault="00E9069F">
      <w:pPr>
        <w:pStyle w:val="Bullet1"/>
      </w:pPr>
      <w:r w:rsidRPr="004646C6">
        <w:t>Radiation Safety Act (1975)</w:t>
      </w:r>
    </w:p>
    <w:p w14:paraId="618217C8" w14:textId="77777777" w:rsidR="003E319D" w:rsidRDefault="00E9069F">
      <w:pPr>
        <w:pStyle w:val="Bullet1"/>
      </w:pPr>
      <w:r w:rsidRPr="004646C6">
        <w:t>Radiation Safety (General) Regulations (1983)</w:t>
      </w:r>
    </w:p>
    <w:p w14:paraId="618217C9" w14:textId="12C2B10D" w:rsidR="003E319D" w:rsidRDefault="00E9069F" w:rsidP="004C377B">
      <w:pPr>
        <w:pStyle w:val="Heading3"/>
      </w:pPr>
      <w:bookmarkStart w:id="20" w:name="_Toc19005488"/>
      <w:r>
        <w:t>2.2.2   Commonwealth Law</w:t>
      </w:r>
      <w:bookmarkEnd w:id="20"/>
      <w:r>
        <w:t xml:space="preserve">   </w:t>
      </w:r>
    </w:p>
    <w:p w14:paraId="618217CA" w14:textId="77777777" w:rsidR="001A00CD" w:rsidRDefault="00E9069F" w:rsidP="001A00CD">
      <w:pPr>
        <w:pStyle w:val="Bullet1"/>
        <w:numPr>
          <w:ilvl w:val="0"/>
          <w:numId w:val="0"/>
        </w:numPr>
        <w:ind w:left="284"/>
      </w:pPr>
      <w:r>
        <w:t>Accessible under</w:t>
      </w:r>
      <w:r w:rsidR="00F62F1D">
        <w:t xml:space="preserve"> the</w:t>
      </w:r>
      <w:r>
        <w:t xml:space="preserve"> </w:t>
      </w:r>
      <w:hyperlink r:id="rId26" w:history="1">
        <w:r w:rsidR="00F62F1D" w:rsidRPr="00F62F1D">
          <w:rPr>
            <w:rStyle w:val="Hyperlink"/>
            <w:rFonts w:cs="Arial"/>
            <w:shd w:val="clear" w:color="auto" w:fill="FFFFFF"/>
          </w:rPr>
          <w:t>Federal Register of Legislation</w:t>
        </w:r>
      </w:hyperlink>
      <w:r w:rsidR="00F62F1D">
        <w:rPr>
          <w:rFonts w:cs="Arial"/>
          <w:color w:val="000000"/>
          <w:shd w:val="clear" w:color="auto" w:fill="FFFFFF"/>
        </w:rPr>
        <w:t>.</w:t>
      </w:r>
    </w:p>
    <w:p w14:paraId="618217CB" w14:textId="77777777" w:rsidR="003E319D" w:rsidRDefault="00E9069F" w:rsidP="002D2118">
      <w:pPr>
        <w:pStyle w:val="Bullet1"/>
      </w:pPr>
      <w:r>
        <w:t xml:space="preserve">Chemical Weapons (Prohibition) Act (1994) </w:t>
      </w:r>
    </w:p>
    <w:p w14:paraId="618217CC" w14:textId="77777777" w:rsidR="003E319D" w:rsidRDefault="00E9069F" w:rsidP="00391E62">
      <w:pPr>
        <w:pStyle w:val="Bullet1"/>
      </w:pPr>
      <w:r>
        <w:t>Chemical Weapons (Prohibition) Regulations (1997)</w:t>
      </w:r>
    </w:p>
    <w:p w14:paraId="618217CD" w14:textId="77777777" w:rsidR="003E319D" w:rsidRDefault="00E9069F" w:rsidP="00F614A2">
      <w:pPr>
        <w:pStyle w:val="Bullet1"/>
      </w:pPr>
      <w:r>
        <w:t>Industrial Chemical (Notification and Assessment) Act (1989)</w:t>
      </w:r>
    </w:p>
    <w:p w14:paraId="618217CE" w14:textId="77777777" w:rsidR="003E319D" w:rsidRDefault="00E9069F" w:rsidP="00F614A2">
      <w:pPr>
        <w:pStyle w:val="Bullet1"/>
      </w:pPr>
      <w:r>
        <w:t xml:space="preserve">Agricultural and Veterinary Chemicals Code Act (1994) </w:t>
      </w:r>
    </w:p>
    <w:p w14:paraId="618217CF" w14:textId="77777777" w:rsidR="003E319D" w:rsidRDefault="00E9069F" w:rsidP="00F614A2">
      <w:pPr>
        <w:pStyle w:val="Bullet1"/>
      </w:pPr>
      <w:r>
        <w:t>Agricultural and Veterinary Chemicals Code Regulations (1995)</w:t>
      </w:r>
    </w:p>
    <w:p w14:paraId="618217D0" w14:textId="77777777" w:rsidR="003E319D" w:rsidRDefault="00E9069F" w:rsidP="00F614A2">
      <w:pPr>
        <w:pStyle w:val="Bullet1"/>
      </w:pPr>
      <w:r>
        <w:t>Customs Act (1901)</w:t>
      </w:r>
    </w:p>
    <w:p w14:paraId="618217D1" w14:textId="77777777" w:rsidR="003E319D" w:rsidRDefault="00E9069F" w:rsidP="00F614A2">
      <w:pPr>
        <w:pStyle w:val="Bullet1"/>
      </w:pPr>
      <w:r>
        <w:t>Defence Trade Controls Act (2012)</w:t>
      </w:r>
    </w:p>
    <w:p w14:paraId="618217D2" w14:textId="77777777" w:rsidR="003E319D" w:rsidRPr="00015B1B" w:rsidRDefault="00E9069F">
      <w:pPr>
        <w:pStyle w:val="Bullet1"/>
      </w:pPr>
      <w:r w:rsidRPr="00015B1B">
        <w:t>Excise Act (1901)</w:t>
      </w:r>
    </w:p>
    <w:p w14:paraId="618217D3" w14:textId="77777777" w:rsidR="003E319D" w:rsidRPr="00015B1B" w:rsidRDefault="00E9069F">
      <w:pPr>
        <w:pStyle w:val="Bullet1"/>
        <w:rPr>
          <w:b/>
        </w:rPr>
      </w:pPr>
      <w:r w:rsidRPr="00015B1B">
        <w:t>Excise Regulations (1925)</w:t>
      </w:r>
    </w:p>
    <w:p w14:paraId="618217D4" w14:textId="77777777" w:rsidR="003E319D" w:rsidRDefault="00E9069F">
      <w:pPr>
        <w:pStyle w:val="Bullet1"/>
      </w:pPr>
      <w:r>
        <w:t>Therapeutic Goods Act (1989)</w:t>
      </w:r>
    </w:p>
    <w:p w14:paraId="618217D5" w14:textId="77777777" w:rsidR="003E319D" w:rsidRDefault="00E9069F" w:rsidP="00E27BFA">
      <w:r>
        <w:lastRenderedPageBreak/>
        <w:t>The legislation listed above has also been included in each of the relevant chemical classification sections.</w:t>
      </w:r>
    </w:p>
    <w:p w14:paraId="618217D6" w14:textId="77777777" w:rsidR="003E319D" w:rsidRDefault="00E9069F" w:rsidP="005E44A4">
      <w:pPr>
        <w:pStyle w:val="Heading2"/>
      </w:pPr>
      <w:bookmarkStart w:id="21" w:name="_Toc19005489"/>
      <w:bookmarkStart w:id="22" w:name="_Toc101438942"/>
      <w:r>
        <w:t xml:space="preserve">2.2   </w:t>
      </w:r>
      <w:r w:rsidR="00A05E1D">
        <w:t xml:space="preserve">National &amp; International </w:t>
      </w:r>
      <w:r>
        <w:t>Guidance</w:t>
      </w:r>
      <w:r w:rsidR="00A05E1D">
        <w:t xml:space="preserve"> Materials</w:t>
      </w:r>
      <w:r>
        <w:t>, Standards and Codes of Practise.</w:t>
      </w:r>
      <w:bookmarkEnd w:id="21"/>
      <w:bookmarkEnd w:id="22"/>
      <w:r>
        <w:t xml:space="preserve"> </w:t>
      </w:r>
    </w:p>
    <w:p w14:paraId="618217D7" w14:textId="77777777" w:rsidR="003E319D" w:rsidRDefault="00E9069F" w:rsidP="00E27BFA">
      <w:r>
        <w:t>There is an extensive list of Standards, Codes and Guidance Materials relevant to the management of chemicals at Curtin University. These include:</w:t>
      </w:r>
    </w:p>
    <w:p w14:paraId="618217D8" w14:textId="77777777" w:rsidR="00F131D1" w:rsidRDefault="00E9069F" w:rsidP="002D2118">
      <w:pPr>
        <w:pStyle w:val="Bullet1"/>
      </w:pPr>
      <w:r>
        <w:t xml:space="preserve">GHS Hazardous Chemical Information List </w:t>
      </w:r>
    </w:p>
    <w:p w14:paraId="618217D9" w14:textId="2401CCC7" w:rsidR="00F131D1" w:rsidRDefault="00E9069F" w:rsidP="00391E62">
      <w:pPr>
        <w:pStyle w:val="Bullet1"/>
      </w:pPr>
      <w:r>
        <w:t xml:space="preserve">Australian Dangerous </w:t>
      </w:r>
      <w:r w:rsidR="002E70D3">
        <w:t>Goods Code</w:t>
      </w:r>
      <w:r>
        <w:t xml:space="preserve"> </w:t>
      </w:r>
      <w:r w:rsidR="002E70D3">
        <w:t>[</w:t>
      </w:r>
      <w:r>
        <w:t>Edition 7.</w:t>
      </w:r>
      <w:r w:rsidR="00441DCE">
        <w:t>6</w:t>
      </w:r>
      <w:r>
        <w:t xml:space="preserve"> (201</w:t>
      </w:r>
      <w:r w:rsidR="00441DCE">
        <w:t>8</w:t>
      </w:r>
      <w:r>
        <w:t>)</w:t>
      </w:r>
      <w:r w:rsidR="002E70D3">
        <w:t>]</w:t>
      </w:r>
    </w:p>
    <w:p w14:paraId="618217DA" w14:textId="77777777" w:rsidR="00F131D1" w:rsidRDefault="00E9069F" w:rsidP="00F614A2">
      <w:pPr>
        <w:pStyle w:val="Bullet1"/>
      </w:pPr>
      <w:r>
        <w:t>International Air Transport Association (IATA) Dangerous Goods Regulations</w:t>
      </w:r>
      <w:r w:rsidR="002E70D3">
        <w:t xml:space="preserve">    </w:t>
      </w:r>
    </w:p>
    <w:p w14:paraId="618217DB" w14:textId="7419AF07" w:rsidR="003E319D" w:rsidRDefault="00E9069F" w:rsidP="00F614A2">
      <w:pPr>
        <w:pStyle w:val="Bullet1"/>
      </w:pPr>
      <w:r>
        <w:t xml:space="preserve">Standard for the Uniform Scheduling of Medicines and Poisons </w:t>
      </w:r>
      <w:r w:rsidR="00A05E1D">
        <w:t xml:space="preserve">No </w:t>
      </w:r>
      <w:r w:rsidR="00B77A8B">
        <w:t>24</w:t>
      </w:r>
      <w:r w:rsidR="00A05E1D">
        <w:t xml:space="preserve">. </w:t>
      </w:r>
      <w:r>
        <w:t xml:space="preserve">(SUSMP) </w:t>
      </w:r>
      <w:r w:rsidR="00B77A8B">
        <w:t>June 2019</w:t>
      </w:r>
    </w:p>
    <w:p w14:paraId="618217DC" w14:textId="77777777" w:rsidR="007D2014" w:rsidRPr="00015B1B" w:rsidRDefault="00E9069F" w:rsidP="00F614A2">
      <w:pPr>
        <w:pStyle w:val="Bullet1"/>
      </w:pPr>
      <w:r w:rsidRPr="00015B1B">
        <w:t>Labelling of Workplace Hazardous Chemicals Code of Practice (2015, WHS)</w:t>
      </w:r>
    </w:p>
    <w:p w14:paraId="618217DD" w14:textId="77777777" w:rsidR="003E319D" w:rsidRPr="00015B1B" w:rsidRDefault="00E9069F" w:rsidP="00F614A2">
      <w:pPr>
        <w:pStyle w:val="Bullet1"/>
      </w:pPr>
      <w:r w:rsidRPr="00015B1B">
        <w:t>Workplace Exposure Standards for Airborne Contaminants (2013, WHS)</w:t>
      </w:r>
    </w:p>
    <w:p w14:paraId="618217DE" w14:textId="77777777" w:rsidR="007D2014" w:rsidRPr="00015B1B" w:rsidRDefault="00E9069F" w:rsidP="00F614A2">
      <w:pPr>
        <w:pStyle w:val="Bullet1"/>
      </w:pPr>
      <w:r w:rsidRPr="00015B1B">
        <w:t>Guidance on the I</w:t>
      </w:r>
      <w:r w:rsidR="002E70D3" w:rsidRPr="00015B1B">
        <w:t>nterp</w:t>
      </w:r>
      <w:r w:rsidRPr="00015B1B">
        <w:t>retation of Workplace Exposure Standards for Airborne Contaminants (2013, WHS)</w:t>
      </w:r>
    </w:p>
    <w:p w14:paraId="618217DF" w14:textId="77777777" w:rsidR="002E70D3" w:rsidRPr="00015B1B" w:rsidRDefault="00E9069F">
      <w:pPr>
        <w:pStyle w:val="Bullet1"/>
      </w:pPr>
      <w:r w:rsidRPr="00015B1B">
        <w:t>Storage and Handling of Dangerous Goods Code of Practice.</w:t>
      </w:r>
    </w:p>
    <w:p w14:paraId="618217E0" w14:textId="77777777" w:rsidR="00F131D1" w:rsidRPr="00015B1B" w:rsidRDefault="00E9069F">
      <w:pPr>
        <w:pStyle w:val="Bullet1"/>
      </w:pPr>
      <w:r w:rsidRPr="00015B1B">
        <w:t xml:space="preserve">Approved Criteria for Classifying Hazardous Substances </w:t>
      </w:r>
      <w:r w:rsidR="006D13F6" w:rsidRPr="00015B1B">
        <w:t>[</w:t>
      </w:r>
      <w:r w:rsidRPr="00015B1B">
        <w:t>NOHSC:1008</w:t>
      </w:r>
      <w:r w:rsidR="006D13F6" w:rsidRPr="00015B1B">
        <w:t>(2004</w:t>
      </w:r>
      <w:r w:rsidRPr="00015B1B">
        <w:t>)</w:t>
      </w:r>
      <w:r w:rsidR="006D13F6" w:rsidRPr="00015B1B">
        <w:t>]</w:t>
      </w:r>
      <w:r w:rsidRPr="00015B1B">
        <w:t xml:space="preserve"> </w:t>
      </w:r>
    </w:p>
    <w:p w14:paraId="618217E1" w14:textId="185C9D5A" w:rsidR="00A05E1D" w:rsidRPr="00015B1B" w:rsidRDefault="00E9069F" w:rsidP="00441DCE">
      <w:pPr>
        <w:pStyle w:val="Bullet1"/>
      </w:pPr>
      <w:r w:rsidRPr="00441DCE">
        <w:t>Hazardous Chemical Information System (HCIS)</w:t>
      </w:r>
      <w:r w:rsidRPr="00015B1B">
        <w:t xml:space="preserve"> </w:t>
      </w:r>
    </w:p>
    <w:p w14:paraId="618217E2" w14:textId="77777777" w:rsidR="00A05E1D" w:rsidRDefault="00E9069F" w:rsidP="001D4A41">
      <w:pPr>
        <w:pStyle w:val="Bullet1"/>
      </w:pPr>
      <w:r w:rsidRPr="00015B1B">
        <w:t>National Code of Practice for the Labelling of W</w:t>
      </w:r>
      <w:r w:rsidR="002E70D3" w:rsidRPr="00015B1B">
        <w:t xml:space="preserve">orkplace Substances [NOHSC:2012 </w:t>
      </w:r>
      <w:r w:rsidRPr="00015B1B">
        <w:t>(1994)</w:t>
      </w:r>
      <w:r w:rsidR="002E70D3" w:rsidRPr="00015B1B">
        <w:t>]</w:t>
      </w:r>
    </w:p>
    <w:p w14:paraId="618217E3" w14:textId="77777777" w:rsidR="003E319D" w:rsidRPr="005723A4" w:rsidRDefault="00E9069F" w:rsidP="005E44A4">
      <w:pPr>
        <w:pStyle w:val="Heading2"/>
      </w:pPr>
      <w:bookmarkStart w:id="23" w:name="_Toc19005490"/>
      <w:bookmarkStart w:id="24" w:name="_Toc101438943"/>
      <w:r>
        <w:t xml:space="preserve">2.3   </w:t>
      </w:r>
      <w:r w:rsidRPr="005723A4">
        <w:t>Australian Standards</w:t>
      </w:r>
      <w:bookmarkEnd w:id="23"/>
      <w:bookmarkEnd w:id="24"/>
      <w:r w:rsidRPr="005723A4">
        <w:t xml:space="preserve"> </w:t>
      </w:r>
    </w:p>
    <w:p w14:paraId="618217E4" w14:textId="77777777" w:rsidR="003E319D" w:rsidRDefault="00E9069F" w:rsidP="00E27BFA">
      <w:r>
        <w:t xml:space="preserve">The Australian Standards that may apply to the use, storage, handling and disposal of chemicals at Curtin University can be accessed </w:t>
      </w:r>
      <w:r w:rsidR="00F62F1D">
        <w:t>on</w:t>
      </w:r>
      <w:r>
        <w:t xml:space="preserve"> </w:t>
      </w:r>
      <w:r w:rsidR="00F62F1D">
        <w:t xml:space="preserve">SAI Global via </w:t>
      </w:r>
      <w:r>
        <w:t xml:space="preserve">the </w:t>
      </w:r>
      <w:hyperlink r:id="rId27" w:history="1">
        <w:r w:rsidRPr="007D2014">
          <w:rPr>
            <w:rStyle w:val="Hyperlink"/>
          </w:rPr>
          <w:t xml:space="preserve">Curtin Library </w:t>
        </w:r>
        <w:r w:rsidR="006D13F6">
          <w:rPr>
            <w:rStyle w:val="Hyperlink"/>
          </w:rPr>
          <w:t>databases</w:t>
        </w:r>
      </w:hyperlink>
      <w:r>
        <w:t>.</w:t>
      </w:r>
      <w:r w:rsidR="00F62F1D">
        <w:t xml:space="preserve"> </w:t>
      </w:r>
    </w:p>
    <w:p w14:paraId="618217E5" w14:textId="77777777" w:rsidR="003E319D" w:rsidRDefault="00E9069F" w:rsidP="00AA617A">
      <w:pPr>
        <w:pStyle w:val="Bullet1"/>
      </w:pPr>
      <w:r>
        <w:t xml:space="preserve">AS/NZS </w:t>
      </w:r>
      <w:r w:rsidR="00854827">
        <w:t>2243.1</w:t>
      </w:r>
      <w:r w:rsidR="001C6F17">
        <w:t xml:space="preserve"> </w:t>
      </w:r>
      <w:r>
        <w:t>Safety in Laboratories, Planning and Operational Aspects</w:t>
      </w:r>
    </w:p>
    <w:p w14:paraId="618217E6" w14:textId="77777777" w:rsidR="003E319D" w:rsidRDefault="00E9069F">
      <w:pPr>
        <w:pStyle w:val="Bullet1"/>
      </w:pPr>
      <w:r>
        <w:t xml:space="preserve">AS/NZS 2243.2 Safety in </w:t>
      </w:r>
      <w:r w:rsidR="006D13F6">
        <w:t xml:space="preserve">Laboratories, </w:t>
      </w:r>
      <w:r>
        <w:t>Chemical Aspects</w:t>
      </w:r>
    </w:p>
    <w:p w14:paraId="618217E7" w14:textId="77777777" w:rsidR="003E319D" w:rsidRDefault="00E9069F">
      <w:pPr>
        <w:pStyle w:val="Bullet1"/>
      </w:pPr>
      <w:r>
        <w:t xml:space="preserve">AS/NZS 2243.10 </w:t>
      </w:r>
      <w:r w:rsidR="006D13F6">
        <w:t xml:space="preserve">Safety in Laboratories, </w:t>
      </w:r>
      <w:r>
        <w:t>Storage of Chemicals</w:t>
      </w:r>
    </w:p>
    <w:p w14:paraId="618217E8" w14:textId="77777777" w:rsidR="006D13F6" w:rsidRDefault="00E9069F">
      <w:pPr>
        <w:pStyle w:val="Bullet1"/>
      </w:pPr>
      <w:r>
        <w:t>AS/NZS 3833 Storage and Handling of Mixed Classes of Dangerous Goods, in Packages and Intermediate Bulk Containers</w:t>
      </w:r>
    </w:p>
    <w:p w14:paraId="618217E9" w14:textId="77777777" w:rsidR="006D13F6" w:rsidRDefault="00E9069F">
      <w:pPr>
        <w:pStyle w:val="Bullet1"/>
      </w:pPr>
      <w:r>
        <w:t>AS 1940 The Storage and Handling of Flammable and Combustible Liquids</w:t>
      </w:r>
    </w:p>
    <w:p w14:paraId="618217EA" w14:textId="77777777" w:rsidR="003E319D" w:rsidRDefault="00E9069F">
      <w:pPr>
        <w:pStyle w:val="Bullet1"/>
      </w:pPr>
      <w:r>
        <w:t>AS 3780 Storage and handling of corrosive substances</w:t>
      </w:r>
    </w:p>
    <w:p w14:paraId="618217EB" w14:textId="77777777" w:rsidR="003E319D" w:rsidRDefault="00E9069F">
      <w:pPr>
        <w:pStyle w:val="Bullet1"/>
      </w:pPr>
      <w:r>
        <w:t xml:space="preserve">AS 4775 Emergency Eyewash and Shower Equipment. </w:t>
      </w:r>
    </w:p>
    <w:p w14:paraId="618217EC" w14:textId="77777777" w:rsidR="003E319D" w:rsidRPr="00AA617A" w:rsidRDefault="00E9069F">
      <w:pPr>
        <w:pStyle w:val="Bullet1"/>
      </w:pPr>
      <w:r w:rsidRPr="00AA617A">
        <w:t>AS 4332</w:t>
      </w:r>
      <w:r w:rsidR="00854827">
        <w:t xml:space="preserve"> </w:t>
      </w:r>
      <w:r w:rsidRPr="00AA617A">
        <w:t>The storage and handling of gases in cylinders.</w:t>
      </w:r>
    </w:p>
    <w:p w14:paraId="618217ED" w14:textId="77777777" w:rsidR="003E319D" w:rsidRPr="00AA617A" w:rsidRDefault="00E9069F">
      <w:pPr>
        <w:pStyle w:val="Bullet1"/>
      </w:pPr>
      <w:r>
        <w:t xml:space="preserve">AS 1596 </w:t>
      </w:r>
      <w:r w:rsidR="004D7019" w:rsidRPr="00AA617A">
        <w:t>The</w:t>
      </w:r>
      <w:r w:rsidRPr="00AA617A">
        <w:t xml:space="preserve"> </w:t>
      </w:r>
      <w:r w:rsidR="004D7019" w:rsidRPr="00AA617A">
        <w:t>storage and handling of LP gas.</w:t>
      </w:r>
      <w:r w:rsidRPr="00AA617A">
        <w:t xml:space="preserve"> </w:t>
      </w:r>
    </w:p>
    <w:p w14:paraId="618217EE" w14:textId="77777777" w:rsidR="003E319D" w:rsidRDefault="00E9069F">
      <w:pPr>
        <w:pStyle w:val="Bullet1"/>
      </w:pPr>
      <w:r>
        <w:t xml:space="preserve">AS 1894 </w:t>
      </w:r>
      <w:r w:rsidR="004D7019">
        <w:t>The s</w:t>
      </w:r>
      <w:r>
        <w:t>torage and handling of non-flammable cryogenic and refrigerated liquids.</w:t>
      </w:r>
    </w:p>
    <w:p w14:paraId="618217EF" w14:textId="77777777" w:rsidR="003E319D" w:rsidRDefault="00E9069F">
      <w:pPr>
        <w:pStyle w:val="Bullet1"/>
      </w:pPr>
      <w:r>
        <w:t>AS 4326 The storage and handling of oxidising agents</w:t>
      </w:r>
    </w:p>
    <w:p w14:paraId="618217F0" w14:textId="77777777" w:rsidR="003E319D" w:rsidRDefault="00E9069F">
      <w:pPr>
        <w:pStyle w:val="Bullet1"/>
      </w:pPr>
      <w:r>
        <w:t>AS 2714</w:t>
      </w:r>
      <w:r w:rsidR="00854827">
        <w:t xml:space="preserve"> T</w:t>
      </w:r>
      <w:r>
        <w:t xml:space="preserve">he storage and handling of </w:t>
      </w:r>
      <w:r w:rsidR="00585BC9">
        <w:t>organic peroxides</w:t>
      </w:r>
    </w:p>
    <w:p w14:paraId="618217F1" w14:textId="77777777" w:rsidR="003E319D" w:rsidRDefault="00E9069F">
      <w:pPr>
        <w:pStyle w:val="Bullet1"/>
      </w:pPr>
      <w:r>
        <w:t>AS/NZS 4452 The storage and handling of toxic substances</w:t>
      </w:r>
    </w:p>
    <w:p w14:paraId="618217F2" w14:textId="77777777" w:rsidR="003E319D" w:rsidRDefault="00E9069F">
      <w:pPr>
        <w:pStyle w:val="Bullet1"/>
      </w:pPr>
      <w:r>
        <w:t xml:space="preserve">AS 2780 The storage and handling of corrosive substances </w:t>
      </w:r>
    </w:p>
    <w:p w14:paraId="618217F3" w14:textId="77777777" w:rsidR="003E319D" w:rsidRDefault="00E9069F">
      <w:pPr>
        <w:pStyle w:val="Bullet1"/>
      </w:pPr>
      <w:r>
        <w:t>AS</w:t>
      </w:r>
      <w:r w:rsidR="008A672B">
        <w:t xml:space="preserve"> </w:t>
      </w:r>
      <w:r>
        <w:t>4681</w:t>
      </w:r>
      <w:r w:rsidR="00854827">
        <w:t xml:space="preserve"> </w:t>
      </w:r>
      <w:r>
        <w:t xml:space="preserve">The storage and handling of </w:t>
      </w:r>
      <w:r w:rsidR="00585BC9">
        <w:t xml:space="preserve">class 9 </w:t>
      </w:r>
      <w:r>
        <w:t>(</w:t>
      </w:r>
      <w:r w:rsidR="00585BC9">
        <w:t>miscellaneous</w:t>
      </w:r>
      <w:r>
        <w:t>) dange</w:t>
      </w:r>
      <w:r w:rsidR="00585BC9">
        <w:t>rous goods and articles</w:t>
      </w:r>
    </w:p>
    <w:p w14:paraId="618217F5" w14:textId="77777777" w:rsidR="003E319D" w:rsidRDefault="00E9069F">
      <w:pPr>
        <w:pStyle w:val="Bullet1"/>
      </w:pPr>
      <w:r>
        <w:t>AS 1319 Safety Signs for the Occupational Environment</w:t>
      </w:r>
    </w:p>
    <w:p w14:paraId="618217F6" w14:textId="77777777" w:rsidR="003E319D" w:rsidRPr="00AA617A" w:rsidRDefault="00E9069F">
      <w:pPr>
        <w:pStyle w:val="Bullet1"/>
      </w:pPr>
      <w:r>
        <w:lastRenderedPageBreak/>
        <w:t>AS/NZS 1020</w:t>
      </w:r>
      <w:r w:rsidRPr="00AA617A">
        <w:t xml:space="preserve"> The control of undesi</w:t>
      </w:r>
      <w:r w:rsidR="006D13F6" w:rsidRPr="00AA617A">
        <w:t>rable static electricity</w:t>
      </w:r>
    </w:p>
    <w:p w14:paraId="618217F7" w14:textId="77777777" w:rsidR="003E319D" w:rsidRDefault="00E9069F">
      <w:pPr>
        <w:pStyle w:val="Bullet1"/>
      </w:pPr>
      <w:r>
        <w:t xml:space="preserve">AS/NZS 2022 Anhydrous ammonia – storage and handling </w:t>
      </w:r>
    </w:p>
    <w:p w14:paraId="618217F8" w14:textId="77777777" w:rsidR="003E319D" w:rsidRPr="00AA617A" w:rsidRDefault="00E9069F">
      <w:pPr>
        <w:pStyle w:val="Bullet1"/>
      </w:pPr>
      <w:r w:rsidRPr="00AA617A">
        <w:t>AS/NZS 222</w:t>
      </w:r>
      <w:r w:rsidR="00854827">
        <w:t xml:space="preserve">9 </w:t>
      </w:r>
      <w:r w:rsidRPr="00AA617A">
        <w:t>Fuel dispensing equipment fo</w:t>
      </w:r>
      <w:r w:rsidR="006D13F6" w:rsidRPr="00AA617A">
        <w:t>r explosive atmospheres</w:t>
      </w:r>
    </w:p>
    <w:p w14:paraId="618217F9" w14:textId="77777777" w:rsidR="003E319D" w:rsidRPr="00015B1B" w:rsidRDefault="00E9069F" w:rsidP="005E44A4">
      <w:pPr>
        <w:pStyle w:val="Heading2"/>
      </w:pPr>
      <w:bookmarkStart w:id="25" w:name="_Toc19005491"/>
      <w:bookmarkStart w:id="26" w:name="_Toc101438944"/>
      <w:r>
        <w:t xml:space="preserve">2.4   </w:t>
      </w:r>
      <w:r w:rsidR="000D0BEE" w:rsidRPr="00015B1B">
        <w:t xml:space="preserve">Additional Approvals, Permits &amp; </w:t>
      </w:r>
      <w:r w:rsidRPr="00015B1B">
        <w:t>Licensing</w:t>
      </w:r>
      <w:r w:rsidR="000D0BEE" w:rsidRPr="00015B1B">
        <w:t>.</w:t>
      </w:r>
      <w:bookmarkEnd w:id="25"/>
      <w:bookmarkEnd w:id="26"/>
    </w:p>
    <w:p w14:paraId="618217FA" w14:textId="77777777" w:rsidR="003E319D" w:rsidRDefault="00E9069F" w:rsidP="00E27BFA">
      <w:r>
        <w:t xml:space="preserve">The procurement and possession of some chemical classifications have additional approval, permit and/or licensing requirements. Refer to </w:t>
      </w:r>
      <w:r w:rsidRPr="00AA617A">
        <w:t>the relevant sections</w:t>
      </w:r>
      <w:r w:rsidR="00854827">
        <w:t xml:space="preserve"> in this </w:t>
      </w:r>
      <w:r>
        <w:t xml:space="preserve">for </w:t>
      </w:r>
      <w:r w:rsidR="000D0BEE">
        <w:t>details of these additional</w:t>
      </w:r>
      <w:r>
        <w:t xml:space="preserve"> requirements. </w:t>
      </w:r>
    </w:p>
    <w:p w14:paraId="618217FB" w14:textId="77777777" w:rsidR="000D0BEE" w:rsidRDefault="00E9069F" w:rsidP="002D2118">
      <w:pPr>
        <w:pStyle w:val="Bullet1"/>
      </w:pPr>
      <w:r>
        <w:t>Hazardous Substances</w:t>
      </w:r>
    </w:p>
    <w:p w14:paraId="618217FC" w14:textId="77777777" w:rsidR="00015B1B" w:rsidRDefault="00E9069F" w:rsidP="00391E62">
      <w:pPr>
        <w:pStyle w:val="Bullet1"/>
      </w:pPr>
      <w:r>
        <w:t>Nanomaterials</w:t>
      </w:r>
    </w:p>
    <w:p w14:paraId="618217FD" w14:textId="77777777" w:rsidR="00073053" w:rsidRDefault="00E9069F" w:rsidP="00F614A2">
      <w:pPr>
        <w:pStyle w:val="Bullet1"/>
      </w:pPr>
      <w:r>
        <w:t>Scheduled Carcinogens</w:t>
      </w:r>
    </w:p>
    <w:p w14:paraId="618217FE" w14:textId="4FF2F5BB" w:rsidR="000D0BEE" w:rsidRDefault="00E9069F" w:rsidP="00F614A2">
      <w:pPr>
        <w:pStyle w:val="Bullet1"/>
      </w:pPr>
      <w:r>
        <w:t xml:space="preserve">Dangerous </w:t>
      </w:r>
      <w:r w:rsidR="00510376">
        <w:t>G</w:t>
      </w:r>
      <w:r>
        <w:t>oods</w:t>
      </w:r>
    </w:p>
    <w:p w14:paraId="618217FF" w14:textId="77777777" w:rsidR="00015B1B" w:rsidRDefault="00E9069F" w:rsidP="00F614A2">
      <w:pPr>
        <w:pStyle w:val="Bullet1"/>
      </w:pPr>
      <w:r>
        <w:t>Security Risk Substances</w:t>
      </w:r>
    </w:p>
    <w:p w14:paraId="61821800" w14:textId="77777777" w:rsidR="00015B1B" w:rsidRDefault="00E9069F" w:rsidP="00F614A2">
      <w:pPr>
        <w:pStyle w:val="Bullet1"/>
      </w:pPr>
      <w:r>
        <w:t>Chemicals of Security Concern</w:t>
      </w:r>
    </w:p>
    <w:p w14:paraId="61821801" w14:textId="77777777" w:rsidR="000D0BEE" w:rsidRDefault="00E9069F" w:rsidP="00F614A2">
      <w:pPr>
        <w:pStyle w:val="Bullet1"/>
      </w:pPr>
      <w:r>
        <w:t xml:space="preserve">Scheduled </w:t>
      </w:r>
      <w:r w:rsidR="003E319D">
        <w:t>Pois</w:t>
      </w:r>
      <w:r>
        <w:t>ons (including medicines and drugs)</w:t>
      </w:r>
    </w:p>
    <w:p w14:paraId="61821802" w14:textId="77777777" w:rsidR="000D0BEE" w:rsidRDefault="00E9069F">
      <w:pPr>
        <w:pStyle w:val="Bullet1"/>
      </w:pPr>
      <w:r>
        <w:t>Precursor Chemicals</w:t>
      </w:r>
      <w:r w:rsidR="00015B1B">
        <w:t xml:space="preserve"> for Illicit drugs</w:t>
      </w:r>
    </w:p>
    <w:p w14:paraId="61821803" w14:textId="77777777" w:rsidR="000D0BEE" w:rsidRDefault="00E9069F">
      <w:pPr>
        <w:pStyle w:val="Bullet1"/>
      </w:pPr>
      <w:r>
        <w:t xml:space="preserve">Agricultural Chemicals </w:t>
      </w:r>
      <w:r w:rsidR="004753CA">
        <w:t>and Veterinary Medicines</w:t>
      </w:r>
    </w:p>
    <w:p w14:paraId="61821804" w14:textId="77777777" w:rsidR="003E319D" w:rsidRDefault="00E9069F">
      <w:pPr>
        <w:pStyle w:val="Bullet1"/>
      </w:pPr>
      <w:r>
        <w:t>Radioactive Chemicals</w:t>
      </w:r>
    </w:p>
    <w:p w14:paraId="61821805" w14:textId="77777777" w:rsidR="00015B1B" w:rsidRDefault="00E9069F">
      <w:pPr>
        <w:pStyle w:val="Bullet1"/>
      </w:pPr>
      <w:r>
        <w:t>Concessional Spirits</w:t>
      </w:r>
    </w:p>
    <w:p w14:paraId="61821806" w14:textId="7D19770F" w:rsidR="00AB0621" w:rsidRDefault="00E9069F" w:rsidP="003A782C">
      <w:pPr>
        <w:pStyle w:val="Heading1"/>
        <w:numPr>
          <w:ilvl w:val="0"/>
          <w:numId w:val="0"/>
        </w:numPr>
        <w:tabs>
          <w:tab w:val="clear" w:pos="851"/>
          <w:tab w:val="left" w:pos="426"/>
        </w:tabs>
      </w:pPr>
      <w:bookmarkStart w:id="27" w:name="_Toc19005492"/>
      <w:bookmarkStart w:id="28" w:name="_Toc101438945"/>
      <w:r>
        <w:t>3.</w:t>
      </w:r>
      <w:r w:rsidR="00CF0E3B">
        <w:tab/>
      </w:r>
      <w:r>
        <w:t>Signage</w:t>
      </w:r>
      <w:r w:rsidR="00B57308">
        <w:t xml:space="preserve"> &amp; Placarding</w:t>
      </w:r>
      <w:bookmarkEnd w:id="27"/>
      <w:bookmarkEnd w:id="28"/>
    </w:p>
    <w:p w14:paraId="61821807" w14:textId="01C0ABF9" w:rsidR="00B57308" w:rsidRPr="00B57308" w:rsidRDefault="00E9069F" w:rsidP="003D15CB">
      <w:pPr>
        <w:pStyle w:val="Heading3"/>
      </w:pPr>
      <w:bookmarkStart w:id="29" w:name="_Toc19005493"/>
      <w:r>
        <w:t>3.1</w:t>
      </w:r>
      <w:r w:rsidR="00D92E5E">
        <w:t xml:space="preserve">   </w:t>
      </w:r>
      <w:r w:rsidR="00EF117C">
        <w:t xml:space="preserve">Signage &amp; </w:t>
      </w:r>
      <w:r>
        <w:t>Placarding</w:t>
      </w:r>
      <w:r w:rsidR="00EF117C">
        <w:t xml:space="preserve"> of Chemical Stores and Buildings</w:t>
      </w:r>
      <w:bookmarkEnd w:id="29"/>
    </w:p>
    <w:p w14:paraId="61821808" w14:textId="551FFC28" w:rsidR="009B371E" w:rsidRDefault="00E9069F" w:rsidP="00E42B8C">
      <w:r>
        <w:t>Individual Schools/Areas are required to ensure that the correct p</w:t>
      </w:r>
      <w:r w:rsidR="00B57308">
        <w:t xml:space="preserve">lacarding is </w:t>
      </w:r>
      <w:r>
        <w:t xml:space="preserve">displayed on their sites. Placarding is </w:t>
      </w:r>
      <w:r w:rsidR="00B57308">
        <w:t>required under Dangerous Goods (Storage and Handling of N</w:t>
      </w:r>
      <w:r w:rsidR="00897129">
        <w:t>on-explosives) Regulations 2007 w</w:t>
      </w:r>
      <w:r w:rsidR="00B57308">
        <w:t>here volumes stored exceed placarding quantities.</w:t>
      </w:r>
      <w:r w:rsidR="00EF117C">
        <w:t xml:space="preserve"> </w:t>
      </w:r>
      <w:r w:rsidR="00B57308">
        <w:t xml:space="preserve">For details </w:t>
      </w:r>
      <w:r>
        <w:t>o</w:t>
      </w:r>
      <w:r w:rsidR="00B57308">
        <w:t xml:space="preserve">f these requirements please refer to </w:t>
      </w:r>
      <w:r w:rsidR="00B57308" w:rsidRPr="003D15CB">
        <w:t xml:space="preserve">the </w:t>
      </w:r>
      <w:hyperlink r:id="rId28" w:history="1">
        <w:r w:rsidR="00A54B43" w:rsidRPr="00760388">
          <w:rPr>
            <w:rStyle w:val="Hyperlink"/>
          </w:rPr>
          <w:t>Guidance for the Storage of Chemicals</w:t>
        </w:r>
      </w:hyperlink>
      <w:r w:rsidR="00B57308" w:rsidRPr="003D15CB">
        <w:t xml:space="preserve"> document</w:t>
      </w:r>
      <w:r>
        <w:t>,</w:t>
      </w:r>
      <w:r w:rsidR="00854827">
        <w:t xml:space="preserve"> </w:t>
      </w:r>
      <w:r>
        <w:t xml:space="preserve">and contact the Department of Health &amp; Safety for advice. There are also signage requirements for chemicals stores </w:t>
      </w:r>
      <w:r w:rsidR="00854827">
        <w:t>(AS 1319</w:t>
      </w:r>
      <w:r w:rsidR="003D15CB">
        <w:t>)</w:t>
      </w:r>
      <w:r>
        <w:t>.</w:t>
      </w:r>
    </w:p>
    <w:p w14:paraId="61821809" w14:textId="1E5E9717" w:rsidR="00B57308" w:rsidRPr="003D15CB" w:rsidRDefault="00E9069F" w:rsidP="003A782C">
      <w:pPr>
        <w:pStyle w:val="Heading3"/>
        <w:ind w:left="851" w:hanging="851"/>
      </w:pPr>
      <w:bookmarkStart w:id="30" w:name="_Toc19005494"/>
      <w:r>
        <w:t>3.</w:t>
      </w:r>
      <w:r w:rsidR="00CF0E3B">
        <w:t xml:space="preserve">2  </w:t>
      </w:r>
      <w:r>
        <w:t xml:space="preserve"> </w:t>
      </w:r>
      <w:r w:rsidR="00EF117C" w:rsidRPr="003D15CB">
        <w:t>Laboratory Signage</w:t>
      </w:r>
      <w:bookmarkEnd w:id="30"/>
    </w:p>
    <w:p w14:paraId="6182180A" w14:textId="77777777" w:rsidR="00B57308" w:rsidRDefault="00E9069F" w:rsidP="00AB0621">
      <w:r>
        <w:t>Individual School</w:t>
      </w:r>
      <w:r w:rsidR="005C276B">
        <w:t>s/Areas</w:t>
      </w:r>
      <w:r>
        <w:t xml:space="preserve"> are required to ensure that signage is displayed in appropriate locations to identify the presence of hazardous chemicals.</w:t>
      </w:r>
    </w:p>
    <w:p w14:paraId="6182180B" w14:textId="77777777" w:rsidR="00AB0621" w:rsidRDefault="00E9069F" w:rsidP="00AB0621">
      <w:r>
        <w:t>Cupboards, lockers and refrigerators used for storing chemicals should be labelled to indicate the type of chemicals being stored (</w:t>
      </w:r>
      <w:proofErr w:type="gramStart"/>
      <w:r>
        <w:t>e.g.</w:t>
      </w:r>
      <w:proofErr w:type="gramEnd"/>
      <w:r>
        <w:t xml:space="preserve"> the class label for a dangerous good). Additional signs may also be required, such as “do not use to store food”.</w:t>
      </w:r>
    </w:p>
    <w:p w14:paraId="6182180C" w14:textId="3030100C" w:rsidR="007D3802" w:rsidRPr="00525401" w:rsidRDefault="00E9069F" w:rsidP="003A782C">
      <w:pPr>
        <w:pStyle w:val="Heading1"/>
        <w:numPr>
          <w:ilvl w:val="0"/>
          <w:numId w:val="0"/>
        </w:numPr>
        <w:tabs>
          <w:tab w:val="clear" w:pos="851"/>
          <w:tab w:val="left" w:pos="426"/>
        </w:tabs>
      </w:pPr>
      <w:bookmarkStart w:id="31" w:name="_Toc19005495"/>
      <w:bookmarkStart w:id="32" w:name="_Toc101438946"/>
      <w:r>
        <w:lastRenderedPageBreak/>
        <w:t>4.</w:t>
      </w:r>
      <w:r w:rsidR="00CF0E3B">
        <w:tab/>
      </w:r>
      <w:r w:rsidRPr="00525401">
        <w:t>Preparation for Work</w:t>
      </w:r>
      <w:bookmarkEnd w:id="31"/>
      <w:bookmarkEnd w:id="32"/>
      <w:r w:rsidRPr="00525401">
        <w:t xml:space="preserve"> </w:t>
      </w:r>
    </w:p>
    <w:p w14:paraId="6182180D" w14:textId="77777777" w:rsidR="00417B25" w:rsidRPr="00525401" w:rsidRDefault="00E9069F" w:rsidP="005E44A4">
      <w:pPr>
        <w:pStyle w:val="Heading2"/>
      </w:pPr>
      <w:bookmarkStart w:id="33" w:name="_Toc19005496"/>
      <w:bookmarkStart w:id="34" w:name="_Toc101438947"/>
      <w:r>
        <w:t>4.1</w:t>
      </w:r>
      <w:r w:rsidR="00D92E5E">
        <w:t xml:space="preserve">   </w:t>
      </w:r>
      <w:r w:rsidRPr="00525401">
        <w:t>Training</w:t>
      </w:r>
      <w:r w:rsidR="00EA2957">
        <w:t xml:space="preserve"> &amp; Induction</w:t>
      </w:r>
      <w:bookmarkEnd w:id="33"/>
      <w:bookmarkEnd w:id="34"/>
    </w:p>
    <w:p w14:paraId="6182180E" w14:textId="5E4B6406" w:rsidR="00525401" w:rsidRPr="00525401" w:rsidRDefault="00E9069F" w:rsidP="00525401">
      <w:r w:rsidRPr="00525401">
        <w:t>The purpose of information, instruction and training is to ensure that personnel handling chemicals have the skills and knowledge they need to perform their tasks in a manner that is safe and without risks to health (their own and that of colleagues working around them) a</w:t>
      </w:r>
      <w:r w:rsidR="007C2335">
        <w:t>nd the environment, so far as is</w:t>
      </w:r>
      <w:r w:rsidRPr="00525401">
        <w:t xml:space="preserve"> reasonably practicable. It should enable them to follow health and safety procedures and use risk controls that are set in place for their protection. It should also provide them with an appreciation of the nature of the chemicals used in the workplace and the risks associated with their use and the reason why risk controls are used. </w:t>
      </w:r>
    </w:p>
    <w:p w14:paraId="6182180F" w14:textId="77777777" w:rsidR="005514F6" w:rsidRPr="007D3802" w:rsidRDefault="00E9069F" w:rsidP="005514F6">
      <w:pPr>
        <w:rPr>
          <w:highlight w:val="yellow"/>
        </w:rPr>
      </w:pPr>
      <w:r w:rsidRPr="00525401">
        <w:t>The mix of information, instruction and training provided will depend on the severity o</w:t>
      </w:r>
      <w:r w:rsidR="007C2335">
        <w:t xml:space="preserve">f the hazards, the level of </w:t>
      </w:r>
      <w:r w:rsidRPr="00525401">
        <w:t>responsibility of the person and what the person already knows about the chemicals and their use</w:t>
      </w:r>
      <w:r w:rsidR="00F95EBF">
        <w:t xml:space="preserve">. Where staff hold management responsibilities for chemicals in the workplace, additional training may be required. </w:t>
      </w:r>
    </w:p>
    <w:p w14:paraId="61821810" w14:textId="77777777" w:rsidR="00D16291" w:rsidRPr="005514F6" w:rsidRDefault="00E9069F" w:rsidP="005514F6">
      <w:r w:rsidRPr="005514F6">
        <w:t xml:space="preserve">All staff and research students with potential for exposure to (working with) chemicals, shall </w:t>
      </w:r>
      <w:r>
        <w:t>undertake training and induction on the use of chemicals.</w:t>
      </w:r>
    </w:p>
    <w:p w14:paraId="61821811" w14:textId="77777777" w:rsidR="00525401" w:rsidRPr="00525401" w:rsidRDefault="00E9069F" w:rsidP="00525401">
      <w:r w:rsidRPr="00525401">
        <w:t xml:space="preserve">The topics that </w:t>
      </w:r>
      <w:r w:rsidR="005514F6">
        <w:t>should</w:t>
      </w:r>
      <w:r w:rsidRPr="00525401">
        <w:t xml:space="preserve"> be covered in </w:t>
      </w:r>
      <w:r w:rsidR="005514F6">
        <w:t>chemical</w:t>
      </w:r>
      <w:r w:rsidRPr="00525401">
        <w:t xml:space="preserve"> safety training</w:t>
      </w:r>
      <w:r w:rsidR="00D41334">
        <w:t xml:space="preserve"> and induction as required</w:t>
      </w:r>
      <w:r w:rsidRPr="00525401">
        <w:t xml:space="preserve"> include: </w:t>
      </w:r>
    </w:p>
    <w:p w14:paraId="61821812" w14:textId="77777777" w:rsidR="00525401" w:rsidRPr="005514F6" w:rsidRDefault="00E9069F" w:rsidP="002D2118">
      <w:pPr>
        <w:pStyle w:val="Bullet1"/>
      </w:pPr>
      <w:r w:rsidRPr="005514F6">
        <w:t xml:space="preserve">pre-purchasing </w:t>
      </w:r>
      <w:proofErr w:type="gramStart"/>
      <w:r w:rsidRPr="005514F6">
        <w:t>requirements;</w:t>
      </w:r>
      <w:proofErr w:type="gramEnd"/>
      <w:r w:rsidRPr="005514F6">
        <w:t xml:space="preserve"> </w:t>
      </w:r>
    </w:p>
    <w:p w14:paraId="61821813" w14:textId="77777777" w:rsidR="00525401" w:rsidRPr="005514F6" w:rsidRDefault="00E9069F" w:rsidP="00391E62">
      <w:pPr>
        <w:pStyle w:val="Bullet1"/>
      </w:pPr>
      <w:r w:rsidRPr="005514F6">
        <w:t xml:space="preserve">legislation </w:t>
      </w:r>
      <w:proofErr w:type="gramStart"/>
      <w:r w:rsidRPr="005514F6">
        <w:t>requirements;</w:t>
      </w:r>
      <w:proofErr w:type="gramEnd"/>
      <w:r w:rsidRPr="005514F6">
        <w:t xml:space="preserve"> </w:t>
      </w:r>
    </w:p>
    <w:p w14:paraId="61821814" w14:textId="77777777" w:rsidR="00525401" w:rsidRPr="005514F6" w:rsidRDefault="00E9069F" w:rsidP="00F614A2">
      <w:pPr>
        <w:pStyle w:val="Bullet1"/>
      </w:pPr>
      <w:r w:rsidRPr="005514F6">
        <w:t xml:space="preserve">classification of </w:t>
      </w:r>
      <w:proofErr w:type="gramStart"/>
      <w:r w:rsidRPr="005514F6">
        <w:t>chemicals;</w:t>
      </w:r>
      <w:proofErr w:type="gramEnd"/>
      <w:r w:rsidRPr="005514F6">
        <w:t xml:space="preserve"> </w:t>
      </w:r>
    </w:p>
    <w:p w14:paraId="61821815" w14:textId="77777777" w:rsidR="00525401" w:rsidRPr="005514F6" w:rsidRDefault="00E9069F" w:rsidP="00F614A2">
      <w:pPr>
        <w:pStyle w:val="Bullet1"/>
      </w:pPr>
      <w:r w:rsidRPr="005514F6">
        <w:t xml:space="preserve">chemical risk </w:t>
      </w:r>
      <w:proofErr w:type="gramStart"/>
      <w:r w:rsidRPr="005514F6">
        <w:t>assessment;</w:t>
      </w:r>
      <w:proofErr w:type="gramEnd"/>
    </w:p>
    <w:p w14:paraId="61821816" w14:textId="77777777" w:rsidR="00525401" w:rsidRPr="005514F6" w:rsidRDefault="00E9069F" w:rsidP="00F614A2">
      <w:pPr>
        <w:pStyle w:val="Bullet1"/>
      </w:pPr>
      <w:proofErr w:type="gramStart"/>
      <w:r w:rsidRPr="005514F6">
        <w:t>labelling;</w:t>
      </w:r>
      <w:proofErr w:type="gramEnd"/>
      <w:r w:rsidRPr="005514F6">
        <w:t xml:space="preserve"> </w:t>
      </w:r>
    </w:p>
    <w:p w14:paraId="61821817" w14:textId="77777777" w:rsidR="00525401" w:rsidRPr="005514F6" w:rsidRDefault="00E9069F" w:rsidP="00F614A2">
      <w:pPr>
        <w:pStyle w:val="Bullet1"/>
      </w:pPr>
      <w:r w:rsidRPr="005514F6">
        <w:t xml:space="preserve">storage </w:t>
      </w:r>
      <w:r w:rsidR="005514F6" w:rsidRPr="005514F6">
        <w:t xml:space="preserve">and segregation </w:t>
      </w:r>
      <w:proofErr w:type="gramStart"/>
      <w:r w:rsidR="005514F6" w:rsidRPr="005514F6">
        <w:t>requirements</w:t>
      </w:r>
      <w:r w:rsidRPr="005514F6">
        <w:t>;</w:t>
      </w:r>
      <w:proofErr w:type="gramEnd"/>
      <w:r w:rsidRPr="005514F6">
        <w:t xml:space="preserve"> </w:t>
      </w:r>
    </w:p>
    <w:p w14:paraId="61821818" w14:textId="77777777" w:rsidR="005514F6" w:rsidRPr="005514F6" w:rsidRDefault="00E9069F" w:rsidP="00F614A2">
      <w:pPr>
        <w:pStyle w:val="Bullet1"/>
      </w:pPr>
      <w:r w:rsidRPr="005514F6">
        <w:t>Spills management and emergency procedures</w:t>
      </w:r>
      <w:r w:rsidR="00FE0376">
        <w:t>:</w:t>
      </w:r>
    </w:p>
    <w:p w14:paraId="61821819" w14:textId="77777777" w:rsidR="00525401" w:rsidRPr="005514F6" w:rsidRDefault="00E9069F" w:rsidP="003D15CB">
      <w:pPr>
        <w:pStyle w:val="Bullet1"/>
      </w:pPr>
      <w:r w:rsidRPr="005514F6">
        <w:t xml:space="preserve">handling, storing and disposing of chemical waste and </w:t>
      </w:r>
      <w:proofErr w:type="gramStart"/>
      <w:r w:rsidRPr="005514F6">
        <w:t>containers;</w:t>
      </w:r>
      <w:proofErr w:type="gramEnd"/>
      <w:r w:rsidRPr="005514F6">
        <w:t xml:space="preserve"> </w:t>
      </w:r>
    </w:p>
    <w:p w14:paraId="6182181A" w14:textId="77777777" w:rsidR="00525401" w:rsidRPr="005514F6" w:rsidRDefault="00E9069F">
      <w:pPr>
        <w:pStyle w:val="Bullet1"/>
      </w:pPr>
      <w:r w:rsidRPr="005514F6">
        <w:t xml:space="preserve">transportation </w:t>
      </w:r>
      <w:proofErr w:type="gramStart"/>
      <w:r w:rsidRPr="005514F6">
        <w:t>requirements;</w:t>
      </w:r>
      <w:proofErr w:type="gramEnd"/>
      <w:r w:rsidRPr="005514F6">
        <w:t xml:space="preserve"> </w:t>
      </w:r>
    </w:p>
    <w:p w14:paraId="6182181B" w14:textId="77777777" w:rsidR="00525401" w:rsidRPr="005514F6" w:rsidRDefault="00E9069F" w:rsidP="00F614A2">
      <w:pPr>
        <w:pStyle w:val="Bullet1"/>
      </w:pPr>
      <w:r w:rsidRPr="005514F6">
        <w:t xml:space="preserve">PPE </w:t>
      </w:r>
    </w:p>
    <w:p w14:paraId="6182181C" w14:textId="77777777" w:rsidR="005514F6" w:rsidRPr="005514F6" w:rsidRDefault="00E9069F" w:rsidP="00F614A2">
      <w:pPr>
        <w:pStyle w:val="Bullet1"/>
      </w:pPr>
      <w:r w:rsidRPr="005514F6">
        <w:t xml:space="preserve">SDS and other information </w:t>
      </w:r>
      <w:proofErr w:type="gramStart"/>
      <w:r w:rsidRPr="005514F6">
        <w:t>resources;</w:t>
      </w:r>
      <w:proofErr w:type="gramEnd"/>
    </w:p>
    <w:p w14:paraId="6182181D" w14:textId="77777777" w:rsidR="005514F6" w:rsidRPr="005514F6" w:rsidRDefault="00E9069F" w:rsidP="00F614A2">
      <w:pPr>
        <w:pStyle w:val="Bullet1"/>
      </w:pPr>
      <w:r w:rsidRPr="005514F6">
        <w:t>Safe Work Procedures (SWP)</w:t>
      </w:r>
      <w:r w:rsidR="00FE0376">
        <w:t>:</w:t>
      </w:r>
    </w:p>
    <w:p w14:paraId="6182181E" w14:textId="77777777" w:rsidR="005514F6" w:rsidRPr="005514F6" w:rsidRDefault="00E9069F" w:rsidP="00F614A2">
      <w:pPr>
        <w:pStyle w:val="Bullet1"/>
      </w:pPr>
      <w:r w:rsidRPr="005514F6">
        <w:t>Managers and Supervisors Training</w:t>
      </w:r>
      <w:r w:rsidR="00FE0376">
        <w:t>:</w:t>
      </w:r>
    </w:p>
    <w:p w14:paraId="6182181F" w14:textId="77777777" w:rsidR="005514F6" w:rsidRPr="005514F6" w:rsidRDefault="00E9069F" w:rsidP="00F614A2">
      <w:pPr>
        <w:pStyle w:val="Bullet1"/>
      </w:pPr>
      <w:r w:rsidRPr="005514F6">
        <w:t>Hazardous Materials</w:t>
      </w:r>
      <w:r w:rsidR="00FE0376">
        <w:t>:</w:t>
      </w:r>
    </w:p>
    <w:p w14:paraId="61821820" w14:textId="77777777" w:rsidR="005514F6" w:rsidRPr="005514F6" w:rsidRDefault="00E9069F" w:rsidP="00F614A2">
      <w:pPr>
        <w:pStyle w:val="Bullet1"/>
      </w:pPr>
      <w:r w:rsidRPr="005514F6">
        <w:t>Gas Safety</w:t>
      </w:r>
      <w:r w:rsidR="00FE0376" w:rsidRPr="00FE0376">
        <w:t>; and</w:t>
      </w:r>
    </w:p>
    <w:p w14:paraId="61821821" w14:textId="77777777" w:rsidR="00525401" w:rsidRDefault="00E9069F" w:rsidP="00B6629C">
      <w:pPr>
        <w:pStyle w:val="Bullet1"/>
      </w:pPr>
      <w:r w:rsidRPr="005514F6">
        <w:t>ChemAlert</w:t>
      </w:r>
      <w:r w:rsidR="00FE0376">
        <w:t>.</w:t>
      </w:r>
      <w:r w:rsidRPr="005514F6">
        <w:t xml:space="preserve"> </w:t>
      </w:r>
    </w:p>
    <w:p w14:paraId="61821822" w14:textId="77777777" w:rsidR="00D16291" w:rsidRDefault="00D16291" w:rsidP="00D16291">
      <w:pPr>
        <w:pStyle w:val="Bullet1"/>
        <w:numPr>
          <w:ilvl w:val="0"/>
          <w:numId w:val="0"/>
        </w:numPr>
        <w:ind w:left="644" w:hanging="644"/>
      </w:pPr>
    </w:p>
    <w:p w14:paraId="61821823" w14:textId="0D492A20" w:rsidR="00D16291" w:rsidRPr="00525401" w:rsidRDefault="00E9069F" w:rsidP="00D16291">
      <w:pPr>
        <w:pStyle w:val="Bullet1"/>
        <w:numPr>
          <w:ilvl w:val="0"/>
          <w:numId w:val="0"/>
        </w:numPr>
        <w:ind w:left="644" w:hanging="644"/>
      </w:pPr>
      <w:r>
        <w:t xml:space="preserve">For more information regarding training and induction please refer to the </w:t>
      </w:r>
      <w:hyperlink r:id="rId29" w:history="1">
        <w:r w:rsidRPr="00D16291">
          <w:rPr>
            <w:rStyle w:val="Hyperlink"/>
          </w:rPr>
          <w:t>H</w:t>
        </w:r>
        <w:r w:rsidR="00016EC8">
          <w:rPr>
            <w:rStyle w:val="Hyperlink"/>
          </w:rPr>
          <w:t>ealth and Safety</w:t>
        </w:r>
        <w:r w:rsidR="00AF7BDE">
          <w:rPr>
            <w:rStyle w:val="Hyperlink"/>
          </w:rPr>
          <w:t xml:space="preserve"> </w:t>
        </w:r>
        <w:r w:rsidRPr="00D16291">
          <w:rPr>
            <w:rStyle w:val="Hyperlink"/>
          </w:rPr>
          <w:t>training website</w:t>
        </w:r>
      </w:hyperlink>
      <w:r>
        <w:t>.</w:t>
      </w:r>
    </w:p>
    <w:p w14:paraId="61821824" w14:textId="77777777" w:rsidR="007D3802" w:rsidRPr="00F43D5E" w:rsidRDefault="00E9069F" w:rsidP="005E44A4">
      <w:pPr>
        <w:pStyle w:val="Heading2"/>
        <w:rPr>
          <w:rStyle w:val="Heading1Char"/>
          <w:rFonts w:eastAsiaTheme="minorEastAsia"/>
          <w:b/>
        </w:rPr>
      </w:pPr>
      <w:bookmarkStart w:id="35" w:name="_Toc19005497"/>
      <w:bookmarkStart w:id="36" w:name="_Toc101438948"/>
      <w:r>
        <w:t>4.2</w:t>
      </w:r>
      <w:r w:rsidR="00D92E5E">
        <w:t xml:space="preserve">  </w:t>
      </w:r>
      <w:r>
        <w:t xml:space="preserve"> </w:t>
      </w:r>
      <w:r w:rsidRPr="00E42B8C">
        <w:t>Personal Hygiene</w:t>
      </w:r>
      <w:bookmarkEnd w:id="35"/>
      <w:bookmarkEnd w:id="36"/>
    </w:p>
    <w:p w14:paraId="61821825" w14:textId="77777777" w:rsidR="007D3802" w:rsidRPr="00F95EBF" w:rsidRDefault="00E9069F" w:rsidP="007D3802">
      <w:r w:rsidRPr="00F95EBF">
        <w:t xml:space="preserve">Irrespective of the chemical and its associated risks, personal hygiene when handling and storing chemicals is an integral part of controlling physical exposure. Personal hygiene requirements include: </w:t>
      </w:r>
    </w:p>
    <w:p w14:paraId="61821826" w14:textId="77777777" w:rsidR="007D3802" w:rsidRPr="00F95EBF" w:rsidRDefault="00E9069F" w:rsidP="003D15CB">
      <w:pPr>
        <w:pStyle w:val="Bullet1"/>
      </w:pPr>
      <w:r w:rsidRPr="00F95EBF">
        <w:t>providing readily available</w:t>
      </w:r>
      <w:r w:rsidR="003B635C">
        <w:t xml:space="preserve"> clean</w:t>
      </w:r>
      <w:r w:rsidRPr="00F95EBF">
        <w:t xml:space="preserve"> wash up </w:t>
      </w:r>
      <w:proofErr w:type="gramStart"/>
      <w:r w:rsidRPr="00F95EBF">
        <w:t>facilities;</w:t>
      </w:r>
      <w:proofErr w:type="gramEnd"/>
      <w:r w:rsidRPr="00F95EBF">
        <w:t xml:space="preserve"> </w:t>
      </w:r>
    </w:p>
    <w:p w14:paraId="61821827" w14:textId="77777777" w:rsidR="007D3802" w:rsidRPr="00F95EBF" w:rsidRDefault="00E9069F">
      <w:pPr>
        <w:pStyle w:val="Bullet1"/>
      </w:pPr>
      <w:r w:rsidRPr="00F95EBF">
        <w:lastRenderedPageBreak/>
        <w:t xml:space="preserve">washing hands immediately after using </w:t>
      </w:r>
      <w:proofErr w:type="gramStart"/>
      <w:r w:rsidRPr="00F95EBF">
        <w:t>chemicals;</w:t>
      </w:r>
      <w:proofErr w:type="gramEnd"/>
      <w:r w:rsidRPr="00F95EBF">
        <w:t xml:space="preserve"> </w:t>
      </w:r>
    </w:p>
    <w:p w14:paraId="61821828" w14:textId="77777777" w:rsidR="007D3802" w:rsidRPr="00F95EBF" w:rsidRDefault="00E9069F">
      <w:pPr>
        <w:pStyle w:val="Bullet1"/>
      </w:pPr>
      <w:r w:rsidRPr="00F95EBF">
        <w:t>storing food or drink separately from chemicals (</w:t>
      </w:r>
      <w:proofErr w:type="gramStart"/>
      <w:r w:rsidRPr="00F95EBF">
        <w:t>i</w:t>
      </w:r>
      <w:r w:rsidR="00F43D5E">
        <w:t>.</w:t>
      </w:r>
      <w:r w:rsidRPr="00F95EBF">
        <w:t>e</w:t>
      </w:r>
      <w:r w:rsidR="00F43D5E">
        <w:t>.</w:t>
      </w:r>
      <w:proofErr w:type="gramEnd"/>
      <w:r w:rsidRPr="00F95EBF">
        <w:t xml:space="preserve"> do not store chemicals and food together); </w:t>
      </w:r>
    </w:p>
    <w:p w14:paraId="61821829" w14:textId="77777777" w:rsidR="007D3802" w:rsidRPr="00F95EBF" w:rsidRDefault="00E9069F">
      <w:pPr>
        <w:pStyle w:val="Bullet1"/>
      </w:pPr>
      <w:r w:rsidRPr="00F95EBF">
        <w:t xml:space="preserve">ensuring that laboratories, workshops and other areas where chemicals are used, are free from eating and </w:t>
      </w:r>
      <w:proofErr w:type="gramStart"/>
      <w:r w:rsidRPr="00F95EBF">
        <w:t>drinking;</w:t>
      </w:r>
      <w:proofErr w:type="gramEnd"/>
      <w:r w:rsidRPr="00F95EBF">
        <w:t xml:space="preserve"> </w:t>
      </w:r>
    </w:p>
    <w:p w14:paraId="6182182A" w14:textId="77777777" w:rsidR="007D3802" w:rsidRPr="00F95EBF" w:rsidRDefault="00E9069F">
      <w:pPr>
        <w:pStyle w:val="Bullet1"/>
      </w:pPr>
      <w:r w:rsidRPr="00F95EBF">
        <w:t xml:space="preserve">displaying “rules” in laboratories and workshops that include hygiene requirements; and </w:t>
      </w:r>
    </w:p>
    <w:p w14:paraId="6182182B" w14:textId="77777777" w:rsidR="007D3802" w:rsidRPr="00F95EBF" w:rsidRDefault="00E9069F">
      <w:pPr>
        <w:pStyle w:val="Bullet1"/>
      </w:pPr>
      <w:r w:rsidRPr="00F95EBF">
        <w:t xml:space="preserve">wearing </w:t>
      </w:r>
      <w:r w:rsidR="00F95EBF" w:rsidRPr="00F95EBF">
        <w:t xml:space="preserve">and </w:t>
      </w:r>
      <w:r w:rsidR="003B635C">
        <w:t xml:space="preserve">the appropriate </w:t>
      </w:r>
      <w:r w:rsidR="00F95EBF" w:rsidRPr="00F95EBF">
        <w:t xml:space="preserve">storage of </w:t>
      </w:r>
      <w:r w:rsidRPr="00F95EBF">
        <w:t xml:space="preserve">suitable PPE, such as eye/face protection, gloves and over garments (overalls, laboratory coats). </w:t>
      </w:r>
    </w:p>
    <w:p w14:paraId="6182182C" w14:textId="77777777" w:rsidR="00810381" w:rsidRPr="006E6936" w:rsidRDefault="00E9069F" w:rsidP="005E44A4">
      <w:pPr>
        <w:pStyle w:val="Heading2"/>
      </w:pPr>
      <w:bookmarkStart w:id="37" w:name="_Toc19005498"/>
      <w:bookmarkStart w:id="38" w:name="_Toc101438949"/>
      <w:r>
        <w:t>4.3</w:t>
      </w:r>
      <w:r w:rsidR="00B6629C">
        <w:t xml:space="preserve"> </w:t>
      </w:r>
      <w:r w:rsidR="00D92E5E">
        <w:t xml:space="preserve">  </w:t>
      </w:r>
      <w:r w:rsidR="00BA4AF7">
        <w:t xml:space="preserve">Family planning and early </w:t>
      </w:r>
      <w:proofErr w:type="gramStart"/>
      <w:r w:rsidR="00BA4AF7">
        <w:t>child care</w:t>
      </w:r>
      <w:bookmarkEnd w:id="37"/>
      <w:bookmarkEnd w:id="38"/>
      <w:proofErr w:type="gramEnd"/>
      <w:r>
        <w:t xml:space="preserve"> </w:t>
      </w:r>
    </w:p>
    <w:p w14:paraId="61821831" w14:textId="394DF384" w:rsidR="00791B56" w:rsidRDefault="00E9069F" w:rsidP="00E47F62">
      <w:r>
        <w:t xml:space="preserve">The University recognises that for those who are intending to conceive, are pregnant or breastfeeding, precautions in addition to normal safe work procedures and practices may be required. If you work directly or indirectly with hazardous chemicals, please advise your line manager as soon as possible of your intention to conceive, of your pregnancy or if you are breastfeeding so that all practicable steps may be taken to minimise risks to you and your child. This information will be used solely for the purpose of assessing the risks and any need to modify your role or transfer you to a safe position.  The information will be confidential to those staff who are directly involved in such decisions and putting such procedures in place.  For more information on working safely in laboratories while pregnant or preparing for pregnancy, please refer to the </w:t>
      </w:r>
      <w:hyperlink r:id="rId30" w:history="1">
        <w:r w:rsidRPr="003B635C">
          <w:rPr>
            <w:rStyle w:val="Hyperlink"/>
          </w:rPr>
          <w:t>Reproductive Hazards and Work Guidelines</w:t>
        </w:r>
      </w:hyperlink>
      <w:r w:rsidR="004A10BE">
        <w:t xml:space="preserve"> available at the </w:t>
      </w:r>
      <w:hyperlink r:id="rId31" w:history="1">
        <w:r w:rsidR="004A10BE" w:rsidRPr="004A10BE">
          <w:rPr>
            <w:rStyle w:val="Hyperlink"/>
          </w:rPr>
          <w:t>Health and Safety Policies and Procedures webpage</w:t>
        </w:r>
      </w:hyperlink>
      <w:r w:rsidR="004A10BE">
        <w:t>.</w:t>
      </w:r>
    </w:p>
    <w:p w14:paraId="61821832" w14:textId="77777777" w:rsidR="00DA7A13" w:rsidRPr="00DA7A13" w:rsidRDefault="00E9069F" w:rsidP="005E44A4">
      <w:pPr>
        <w:pStyle w:val="Heading2"/>
      </w:pPr>
      <w:bookmarkStart w:id="39" w:name="_Toc19005499"/>
      <w:bookmarkStart w:id="40" w:name="_Toc101438950"/>
      <w:r>
        <w:t>4.4</w:t>
      </w:r>
      <w:r w:rsidR="0092257D">
        <w:t xml:space="preserve"> </w:t>
      </w:r>
      <w:r w:rsidR="00D92E5E">
        <w:t xml:space="preserve">  </w:t>
      </w:r>
      <w:r w:rsidRPr="00DA7A13">
        <w:t>Chemical Handling</w:t>
      </w:r>
      <w:bookmarkEnd w:id="39"/>
      <w:bookmarkEnd w:id="40"/>
      <w:r w:rsidRPr="00DA7A13">
        <w:t xml:space="preserve"> </w:t>
      </w:r>
    </w:p>
    <w:p w14:paraId="61821833" w14:textId="22F44309" w:rsidR="00DA7A13" w:rsidRPr="00DA7A13" w:rsidRDefault="00E9069F" w:rsidP="00E42B8C">
      <w:pPr>
        <w:pStyle w:val="Heading3"/>
        <w:ind w:left="851" w:hanging="851"/>
      </w:pPr>
      <w:bookmarkStart w:id="41" w:name="_Toc19005500"/>
      <w:r>
        <w:t>4.4.1</w:t>
      </w:r>
      <w:r w:rsidR="00D92E5E">
        <w:t xml:space="preserve">   </w:t>
      </w:r>
      <w:r w:rsidRPr="00DA7A13">
        <w:t>Introduction</w:t>
      </w:r>
      <w:bookmarkEnd w:id="41"/>
    </w:p>
    <w:p w14:paraId="61821834" w14:textId="77777777" w:rsidR="00DA7A13" w:rsidRPr="00DA7A13" w:rsidRDefault="00E9069F" w:rsidP="00DA7A13">
      <w:r w:rsidRPr="00DA7A13">
        <w:t>In addition to the documentation required for the activity to be undertaken, a review of the working area should also be checked to determine if it is appropriate. This should include (but not limited to):</w:t>
      </w:r>
    </w:p>
    <w:p w14:paraId="61821835" w14:textId="77777777" w:rsidR="00DA7A13" w:rsidRPr="00DA7A13" w:rsidRDefault="00E9069F">
      <w:pPr>
        <w:pStyle w:val="Bullet1"/>
      </w:pPr>
      <w:r w:rsidRPr="00DA7A13">
        <w:t>Is the right equipment available?</w:t>
      </w:r>
    </w:p>
    <w:p w14:paraId="61821836" w14:textId="77777777" w:rsidR="00DA7A13" w:rsidRPr="00DA7A13" w:rsidRDefault="00E9069F">
      <w:pPr>
        <w:pStyle w:val="Bullet1"/>
      </w:pPr>
      <w:r w:rsidRPr="00DA7A13">
        <w:t>Does a fume cupboard need to be used? If so what type (recirculating or non-recirculating) and does it need a scrubber? Is this available for use and are the previous chemicals used compatible with what I am using?</w:t>
      </w:r>
    </w:p>
    <w:p w14:paraId="61821837" w14:textId="77777777" w:rsidR="00DA7A13" w:rsidRPr="00DA7A13" w:rsidRDefault="00E9069F">
      <w:pPr>
        <w:pStyle w:val="Bullet1"/>
      </w:pPr>
      <w:r w:rsidRPr="00DA7A13">
        <w:t xml:space="preserve">Is there adequate space to work in? </w:t>
      </w:r>
    </w:p>
    <w:p w14:paraId="61821838" w14:textId="7EF9A48A" w:rsidR="00DA7A13" w:rsidRPr="00DA7A13" w:rsidRDefault="00E9069F">
      <w:pPr>
        <w:pStyle w:val="Bullet1"/>
      </w:pPr>
      <w:r w:rsidRPr="00DA7A13">
        <w:t>Do I have the equipment and appropriate storage for the waste produc</w:t>
      </w:r>
      <w:r w:rsidR="003B635C">
        <w:t>ts</w:t>
      </w:r>
      <w:r w:rsidRPr="00DA7A13">
        <w:t xml:space="preserve"> being generated? </w:t>
      </w:r>
    </w:p>
    <w:p w14:paraId="61821839" w14:textId="4A2A4BED" w:rsidR="00DA7A13" w:rsidRPr="00DA7A13" w:rsidRDefault="00E9069F" w:rsidP="00100EEF">
      <w:pPr>
        <w:pStyle w:val="Heading3"/>
      </w:pPr>
      <w:bookmarkStart w:id="42" w:name="_Toc19005501"/>
      <w:r>
        <w:t xml:space="preserve">4.4.2 </w:t>
      </w:r>
      <w:r w:rsidR="00D92E5E">
        <w:t xml:space="preserve">  </w:t>
      </w:r>
      <w:r w:rsidRPr="00DA7A13">
        <w:t>Package opening and transfer</w:t>
      </w:r>
      <w:bookmarkEnd w:id="42"/>
      <w:r w:rsidRPr="00DA7A13">
        <w:t xml:space="preserve"> </w:t>
      </w:r>
    </w:p>
    <w:p w14:paraId="6182183A" w14:textId="77777777" w:rsidR="00DA7A13" w:rsidRPr="00DA7A13" w:rsidRDefault="00E9069F" w:rsidP="00DA7A13">
      <w:r w:rsidRPr="00DA7A13">
        <w:t xml:space="preserve">Packages should not be opened, or the contents accessed, in the actual storage cabinet, shelf or immediate storage area to avoid the risks resulting from handling obstructions, </w:t>
      </w:r>
      <w:proofErr w:type="gramStart"/>
      <w:r w:rsidRPr="00DA7A13">
        <w:t>close proximity</w:t>
      </w:r>
      <w:proofErr w:type="gramEnd"/>
      <w:r w:rsidRPr="00DA7A13">
        <w:t xml:space="preserve"> to other packages, accidental escape of chemicals, escape of vapours or dust during transfers and possible reaction with other substances (AS2243.10). </w:t>
      </w:r>
    </w:p>
    <w:p w14:paraId="6182183B" w14:textId="77777777" w:rsidR="00DA7A13" w:rsidRPr="00DA7A13" w:rsidRDefault="00E9069F" w:rsidP="00DA7A13">
      <w:r w:rsidRPr="00DA7A13">
        <w:t>Ventilation shall be provided for the dispensing area to remove vapours and dusts to levels that ensure a safe environment. Exposure standards may be used for guidance. Fume cupboards may be necessary for particularly hazardous chemicals.</w:t>
      </w:r>
    </w:p>
    <w:p w14:paraId="6182183C" w14:textId="77777777" w:rsidR="00DA7A13" w:rsidRPr="00DA7A13" w:rsidRDefault="00E9069F" w:rsidP="00DA7A13">
      <w:r>
        <w:t>M</w:t>
      </w:r>
      <w:r w:rsidRPr="00DA7A13">
        <w:t>anual handling equipment and</w:t>
      </w:r>
      <w:r w:rsidR="004C09F2">
        <w:t>/or</w:t>
      </w:r>
      <w:r w:rsidRPr="00DA7A13">
        <w:t xml:space="preserve"> safe practices </w:t>
      </w:r>
      <w:r>
        <w:t xml:space="preserve">shall be </w:t>
      </w:r>
      <w:r w:rsidR="004A56CB">
        <w:t>utili</w:t>
      </w:r>
      <w:r w:rsidR="004C09F2">
        <w:t>s</w:t>
      </w:r>
      <w:r w:rsidR="004A56CB">
        <w:t xml:space="preserve">ed when </w:t>
      </w:r>
      <w:r w:rsidR="004C09F2">
        <w:t>opening or transferring packages.</w:t>
      </w:r>
    </w:p>
    <w:p w14:paraId="6182183D" w14:textId="6DCB5EC5" w:rsidR="00DA7A13" w:rsidRPr="00DA7A13" w:rsidRDefault="00E9069F" w:rsidP="00DA7A13">
      <w:r w:rsidRPr="00DA7A13">
        <w:lastRenderedPageBreak/>
        <w:t xml:space="preserve">Where packages are opened for transfer of contents, </w:t>
      </w:r>
      <w:proofErr w:type="gramStart"/>
      <w:r w:rsidRPr="00DA7A13">
        <w:t>sampling</w:t>
      </w:r>
      <w:proofErr w:type="gramEnd"/>
      <w:r w:rsidRPr="00DA7A13">
        <w:t xml:space="preserve"> and repackaging and for the decanting of cryogenic liquids from one vessel into another, at the end of transfer operations the original package either ‘empty’ or with the residual contents shall be removed from the decant area. After cleaning its exterior to remove any material adhering to the package, the original package shall be returned to storage or disposed. </w:t>
      </w:r>
    </w:p>
    <w:p w14:paraId="6182183E" w14:textId="77777777" w:rsidR="00DA7A13" w:rsidRPr="00DA7A13" w:rsidRDefault="00E9069F" w:rsidP="00DA7A13">
      <w:r w:rsidRPr="00DA7A13">
        <w:t>Liquid dangerous goods should not be poured except from small containers while using appropriate personal protection.</w:t>
      </w:r>
    </w:p>
    <w:p w14:paraId="6182183F" w14:textId="4298EB52" w:rsidR="00DA7A13" w:rsidRPr="00DA7A13" w:rsidRDefault="00E9069F" w:rsidP="00DA7A13">
      <w:r w:rsidRPr="00DA7A13">
        <w:t xml:space="preserve">Decanting or pouring should be avoided to reduce the risk of splashing, overfilling, vapour escape </w:t>
      </w:r>
      <w:r w:rsidR="003023D2">
        <w:t>and</w:t>
      </w:r>
      <w:r w:rsidRPr="00DA7A13">
        <w:t xml:space="preserve"> for flammable liquids, the risk of static electricity discharge. Hand-operated dispensing pumps should be used instead. If decanting is unavoidable (</w:t>
      </w:r>
      <w:proofErr w:type="gramStart"/>
      <w:r w:rsidRPr="00DA7A13">
        <w:t>e.g.</w:t>
      </w:r>
      <w:proofErr w:type="gramEnd"/>
      <w:r w:rsidRPr="00DA7A13">
        <w:t xml:space="preserve"> with viscous liquids), self-closing, non-combustible (preferably metal) taps should be used. </w:t>
      </w:r>
    </w:p>
    <w:p w14:paraId="61821840" w14:textId="7F886F5E" w:rsidR="00FC0719" w:rsidRPr="00B073D5" w:rsidRDefault="00E9069F" w:rsidP="003A782C">
      <w:pPr>
        <w:pStyle w:val="Heading1"/>
        <w:numPr>
          <w:ilvl w:val="0"/>
          <w:numId w:val="0"/>
        </w:numPr>
        <w:tabs>
          <w:tab w:val="clear" w:pos="851"/>
          <w:tab w:val="left" w:pos="426"/>
        </w:tabs>
      </w:pPr>
      <w:bookmarkStart w:id="43" w:name="_Toc19005502"/>
      <w:bookmarkStart w:id="44" w:name="_Toc101438951"/>
      <w:r>
        <w:t>5.</w:t>
      </w:r>
      <w:r w:rsidR="00CF0E3B">
        <w:t xml:space="preserve"> </w:t>
      </w:r>
      <w:r w:rsidR="00CF0E3B">
        <w:tab/>
      </w:r>
      <w:r w:rsidRPr="00B073D5">
        <w:t>Safety Data Sheets</w:t>
      </w:r>
      <w:bookmarkEnd w:id="43"/>
      <w:bookmarkEnd w:id="44"/>
      <w:r w:rsidRPr="00B073D5">
        <w:t xml:space="preserve"> </w:t>
      </w:r>
    </w:p>
    <w:p w14:paraId="61821841" w14:textId="77777777" w:rsidR="00FC0719" w:rsidRPr="00B073D5" w:rsidRDefault="00E9069F" w:rsidP="00FC0719">
      <w:r w:rsidRPr="00B073D5">
        <w:t>A Safety Data Sheet (SDS) is a document available in written form or onli</w:t>
      </w:r>
      <w:r w:rsidR="00C97304" w:rsidRPr="00B073D5">
        <w:t>ne produced by the manufacturer/supplier</w:t>
      </w:r>
      <w:r w:rsidR="000C5866" w:rsidRPr="00B073D5">
        <w:t>/importer</w:t>
      </w:r>
      <w:r w:rsidR="00C97304" w:rsidRPr="00B073D5">
        <w:t xml:space="preserve"> </w:t>
      </w:r>
      <w:r w:rsidR="00A62EE3">
        <w:t xml:space="preserve">for a specific </w:t>
      </w:r>
      <w:r w:rsidR="0028242A">
        <w:t xml:space="preserve">hazardous </w:t>
      </w:r>
      <w:r w:rsidRPr="00B073D5">
        <w:t>chemical. This must be made available on purchase of the chemical</w:t>
      </w:r>
      <w:r w:rsidR="00D7101D">
        <w:t xml:space="preserve"> (See section 8)</w:t>
      </w:r>
      <w:r w:rsidRPr="00B073D5">
        <w:t>.</w:t>
      </w:r>
      <w:r w:rsidR="00D7101D">
        <w:t xml:space="preserve"> IMPORTANT: If you purchase a chemical directly from an overseas supplier, Curtin University becom</w:t>
      </w:r>
      <w:r w:rsidR="00D16291">
        <w:t xml:space="preserve">es the importer </w:t>
      </w:r>
      <w:r w:rsidR="003B635C">
        <w:t xml:space="preserve">and bears additional responsibilities </w:t>
      </w:r>
      <w:r w:rsidR="00D16291">
        <w:t>(See section 8.2</w:t>
      </w:r>
      <w:r w:rsidR="00D7101D">
        <w:t xml:space="preserve">). </w:t>
      </w:r>
    </w:p>
    <w:p w14:paraId="61821842" w14:textId="26E2AC76" w:rsidR="00FC0719" w:rsidRPr="00B073D5" w:rsidRDefault="00E9069F" w:rsidP="00FC0719">
      <w:r w:rsidRPr="00B073D5">
        <w:t>The manufacturer/supplier</w:t>
      </w:r>
      <w:r w:rsidR="000C5866" w:rsidRPr="00B073D5">
        <w:t>/importer</w:t>
      </w:r>
      <w:r w:rsidRPr="00B073D5">
        <w:t xml:space="preserve"> must update each of their </w:t>
      </w:r>
      <w:r w:rsidR="003023D2">
        <w:t>SDSs</w:t>
      </w:r>
      <w:r w:rsidRPr="00B073D5">
        <w:t xml:space="preserve"> at least every five years. If the manufacturer/supplier SDS listed on ChemAlert is more than 5 years old, the Manager/Supervisor shall request from the manufacturer/supplier a more recent version </w:t>
      </w:r>
      <w:r w:rsidR="00C97304" w:rsidRPr="00B073D5">
        <w:t xml:space="preserve">and provide it to the </w:t>
      </w:r>
      <w:r w:rsidR="00D653F4">
        <w:t>H&amp;S</w:t>
      </w:r>
      <w:r w:rsidR="00D653F4" w:rsidRPr="00B073D5">
        <w:t xml:space="preserve"> </w:t>
      </w:r>
      <w:r w:rsidR="00C97304" w:rsidRPr="00B073D5">
        <w:t>ChemAlert Administrator so that it</w:t>
      </w:r>
      <w:r w:rsidRPr="00B073D5">
        <w:t xml:space="preserve"> may be uplo</w:t>
      </w:r>
      <w:r w:rsidR="00C97304" w:rsidRPr="00B073D5">
        <w:t>aded into ChemAlert.</w:t>
      </w:r>
    </w:p>
    <w:p w14:paraId="61821843" w14:textId="2EC3EF33" w:rsidR="00FC0719" w:rsidRPr="00B073D5" w:rsidRDefault="00E9069F" w:rsidP="00FC0719">
      <w:r w:rsidRPr="00B073D5">
        <w:t xml:space="preserve">Areas are required to retain copies of </w:t>
      </w:r>
      <w:r w:rsidR="003023D2">
        <w:t>SDSs</w:t>
      </w:r>
      <w:r w:rsidRPr="00B073D5">
        <w:t xml:space="preserve"> for the </w:t>
      </w:r>
      <w:r w:rsidR="00F3335F">
        <w:t xml:space="preserve">hazardous </w:t>
      </w:r>
      <w:r w:rsidRPr="00B073D5">
        <w:t xml:space="preserve">chemicals that they order and must provide employees with access to these </w:t>
      </w:r>
      <w:r w:rsidR="003023D2">
        <w:t>SDSs</w:t>
      </w:r>
      <w:r w:rsidRPr="00B073D5">
        <w:t xml:space="preserve"> in either hard copy or electronic format.</w:t>
      </w:r>
    </w:p>
    <w:p w14:paraId="61821844" w14:textId="77777777" w:rsidR="00FC0719" w:rsidRPr="00B073D5" w:rsidRDefault="00E9069F" w:rsidP="00FC0719">
      <w:r w:rsidRPr="00B073D5">
        <w:t xml:space="preserve">A Safety Data Sheet (SDS), previously called a Material Safety Data Sheet (MSDS), is a document that provides information on the properties of chemicals and how they affect health, </w:t>
      </w:r>
      <w:proofErr w:type="gramStart"/>
      <w:r w:rsidRPr="00B073D5">
        <w:t>safety</w:t>
      </w:r>
      <w:proofErr w:type="gramEnd"/>
      <w:r w:rsidRPr="00B073D5">
        <w:t xml:space="preserve"> and the environment in the workplace. For </w:t>
      </w:r>
      <w:proofErr w:type="gramStart"/>
      <w:r w:rsidRPr="00B073D5">
        <w:t>example</w:t>
      </w:r>
      <w:proofErr w:type="gramEnd"/>
      <w:r w:rsidRPr="00B073D5">
        <w:t xml:space="preserve"> an SDS includes information on:</w:t>
      </w:r>
    </w:p>
    <w:p w14:paraId="61821845" w14:textId="77777777" w:rsidR="00FC0719" w:rsidRPr="00B073D5" w:rsidRDefault="00E9069F" w:rsidP="002D2118">
      <w:pPr>
        <w:pStyle w:val="Bullet1"/>
      </w:pPr>
      <w:r w:rsidRPr="00B073D5">
        <w:t xml:space="preserve">the identity of the chemical, </w:t>
      </w:r>
    </w:p>
    <w:p w14:paraId="61821846" w14:textId="77777777" w:rsidR="00FC0719" w:rsidRPr="00B073D5" w:rsidRDefault="00E9069F" w:rsidP="00391E62">
      <w:pPr>
        <w:pStyle w:val="Bullet1"/>
      </w:pPr>
      <w:r w:rsidRPr="00B073D5">
        <w:t xml:space="preserve">health and physicochemical hazards, </w:t>
      </w:r>
    </w:p>
    <w:p w14:paraId="61821847" w14:textId="77777777" w:rsidR="00FC0719" w:rsidRPr="00B073D5" w:rsidRDefault="00E9069F" w:rsidP="00F614A2">
      <w:pPr>
        <w:pStyle w:val="Bullet1"/>
      </w:pPr>
      <w:r w:rsidRPr="00B073D5">
        <w:t xml:space="preserve">safe handling and storage procedures, </w:t>
      </w:r>
    </w:p>
    <w:p w14:paraId="61821848" w14:textId="77777777" w:rsidR="00FC0719" w:rsidRPr="00B073D5" w:rsidRDefault="00E9069F" w:rsidP="00F614A2">
      <w:pPr>
        <w:pStyle w:val="Bullet1"/>
      </w:pPr>
      <w:r w:rsidRPr="00B073D5">
        <w:t xml:space="preserve">emergency procedures, and </w:t>
      </w:r>
    </w:p>
    <w:p w14:paraId="61821849" w14:textId="77777777" w:rsidR="00FC0719" w:rsidRPr="00B073D5" w:rsidRDefault="00E9069F" w:rsidP="00F614A2">
      <w:pPr>
        <w:pStyle w:val="Bullet1"/>
      </w:pPr>
      <w:r w:rsidRPr="00B073D5">
        <w:t xml:space="preserve">disposal considerations. </w:t>
      </w:r>
    </w:p>
    <w:p w14:paraId="6182184A" w14:textId="2DBC454E" w:rsidR="00FC0719" w:rsidRPr="00B073D5" w:rsidRDefault="00E9069F" w:rsidP="00FC0719">
      <w:r w:rsidRPr="00B073D5">
        <w:t>A safety data sheet must</w:t>
      </w:r>
      <w:r w:rsidR="00393D0D">
        <w:t xml:space="preserve"> be Australian compliant</w:t>
      </w:r>
      <w:r w:rsidR="00611FF2">
        <w:t>, it will</w:t>
      </w:r>
      <w:r w:rsidRPr="00B073D5">
        <w:t>:</w:t>
      </w:r>
    </w:p>
    <w:p w14:paraId="6182184B" w14:textId="77777777" w:rsidR="00FC0719" w:rsidRPr="00B073D5" w:rsidRDefault="00E9069F" w:rsidP="002D2118">
      <w:pPr>
        <w:pStyle w:val="Bullet1"/>
      </w:pPr>
      <w:r w:rsidRPr="00B073D5">
        <w:t>be in English</w:t>
      </w:r>
    </w:p>
    <w:p w14:paraId="6182184C" w14:textId="77777777" w:rsidR="00FC0719" w:rsidRPr="00B073D5" w:rsidRDefault="00E9069F" w:rsidP="00391E62">
      <w:pPr>
        <w:pStyle w:val="Bullet1"/>
      </w:pPr>
      <w:r w:rsidRPr="00B073D5">
        <w:t>contain unit measures expressed in Australian legal units of measurement under the National Measurement Act 1960 (Commonwealth)</w:t>
      </w:r>
    </w:p>
    <w:p w14:paraId="6182184D" w14:textId="77777777" w:rsidR="00FC0719" w:rsidRPr="00B073D5" w:rsidRDefault="00E9069F" w:rsidP="00F614A2">
      <w:pPr>
        <w:pStyle w:val="Bullet1"/>
      </w:pPr>
      <w:r w:rsidRPr="00B073D5">
        <w:t>state the date it was last reviewed, or if it has not been reviewed, the date it was prepared</w:t>
      </w:r>
    </w:p>
    <w:p w14:paraId="6182184E" w14:textId="77777777" w:rsidR="00FC0719" w:rsidRPr="00B073D5" w:rsidRDefault="00E9069F" w:rsidP="00F614A2">
      <w:pPr>
        <w:pStyle w:val="Bullet1"/>
      </w:pPr>
      <w:r w:rsidRPr="00B073D5">
        <w:t>state the name, Australian address and business telephone number of the manufacturer or the importer</w:t>
      </w:r>
    </w:p>
    <w:p w14:paraId="6182184F" w14:textId="77777777" w:rsidR="00FC0719" w:rsidRPr="00B073D5" w:rsidRDefault="00E9069F" w:rsidP="00F614A2">
      <w:pPr>
        <w:pStyle w:val="Bullet1"/>
      </w:pPr>
      <w:r w:rsidRPr="00B073D5">
        <w:t>state an Australian business telephone number from which information about the chemical can be obtained in an emergency.</w:t>
      </w:r>
    </w:p>
    <w:p w14:paraId="61821850" w14:textId="77777777" w:rsidR="00FC0719" w:rsidRPr="00B073D5" w:rsidRDefault="00E9069F" w:rsidP="00FC0719">
      <w:r w:rsidRPr="00B073D5">
        <w:lastRenderedPageBreak/>
        <w:t>A SDS must state information about the chemical in the following 16 sections:</w:t>
      </w:r>
    </w:p>
    <w:p w14:paraId="61821851" w14:textId="77777777" w:rsidR="00FC0719" w:rsidRPr="00B073D5" w:rsidRDefault="00E9069F" w:rsidP="00FC0719">
      <w:r w:rsidRPr="00B073D5">
        <w:t>Section 1 – Identification: Product identifier and chemical identity</w:t>
      </w:r>
    </w:p>
    <w:p w14:paraId="61821852" w14:textId="77777777" w:rsidR="00FC0719" w:rsidRPr="00B073D5" w:rsidRDefault="00E9069F" w:rsidP="00FC0719">
      <w:pPr>
        <w:spacing w:before="0"/>
      </w:pPr>
      <w:r w:rsidRPr="00B073D5">
        <w:t xml:space="preserve">Section 2 – Hazard(s) identification </w:t>
      </w:r>
    </w:p>
    <w:p w14:paraId="61821853" w14:textId="77777777" w:rsidR="00FC0719" w:rsidRPr="00B073D5" w:rsidRDefault="00E9069F" w:rsidP="00FC0719">
      <w:pPr>
        <w:spacing w:before="0"/>
      </w:pPr>
      <w:r w:rsidRPr="00B073D5">
        <w:t>Section 3 – Composition and information on ingredients</w:t>
      </w:r>
    </w:p>
    <w:p w14:paraId="61821854" w14:textId="77777777" w:rsidR="00FC0719" w:rsidRPr="00B073D5" w:rsidRDefault="00E9069F" w:rsidP="00FC0719">
      <w:pPr>
        <w:spacing w:before="0"/>
      </w:pPr>
      <w:r w:rsidRPr="00B073D5">
        <w:t>Section 4 – First-aid measures</w:t>
      </w:r>
    </w:p>
    <w:p w14:paraId="61821855" w14:textId="77777777" w:rsidR="00FC0719" w:rsidRPr="00B073D5" w:rsidRDefault="00E9069F" w:rsidP="00FC0719">
      <w:pPr>
        <w:spacing w:before="0"/>
      </w:pPr>
      <w:r w:rsidRPr="00B073D5">
        <w:t>Section 5 – Fire-fighting measures</w:t>
      </w:r>
    </w:p>
    <w:p w14:paraId="61821856" w14:textId="77777777" w:rsidR="00FC0719" w:rsidRPr="00B073D5" w:rsidRDefault="00E9069F" w:rsidP="00FC0719">
      <w:pPr>
        <w:spacing w:before="0"/>
      </w:pPr>
      <w:r w:rsidRPr="00B073D5">
        <w:t>Section 6 – Accidental release measures</w:t>
      </w:r>
    </w:p>
    <w:p w14:paraId="61821857" w14:textId="77777777" w:rsidR="00FC0719" w:rsidRPr="00B073D5" w:rsidRDefault="00E9069F" w:rsidP="00FC0719">
      <w:pPr>
        <w:spacing w:before="0"/>
      </w:pPr>
      <w:r w:rsidRPr="00B073D5">
        <w:t xml:space="preserve">Section 7 – Handling and storage, including how the chemical may be safely used </w:t>
      </w:r>
    </w:p>
    <w:p w14:paraId="61821858" w14:textId="77777777" w:rsidR="00FC0719" w:rsidRPr="00B073D5" w:rsidRDefault="00E9069F" w:rsidP="00FC0719">
      <w:pPr>
        <w:spacing w:before="0"/>
      </w:pPr>
      <w:r w:rsidRPr="00B073D5">
        <w:t>Section 8 – Exposure controls and personal protection</w:t>
      </w:r>
    </w:p>
    <w:p w14:paraId="61821859" w14:textId="77777777" w:rsidR="00FC0719" w:rsidRPr="00B073D5" w:rsidRDefault="00E9069F" w:rsidP="00FC0719">
      <w:pPr>
        <w:spacing w:before="0"/>
      </w:pPr>
      <w:r w:rsidRPr="00B073D5">
        <w:t>Section 9 – Physical and chemical properties</w:t>
      </w:r>
    </w:p>
    <w:p w14:paraId="6182185A" w14:textId="77777777" w:rsidR="00FC0719" w:rsidRPr="00B073D5" w:rsidRDefault="00E9069F" w:rsidP="00FC0719">
      <w:pPr>
        <w:spacing w:before="0"/>
      </w:pPr>
      <w:r w:rsidRPr="00B073D5">
        <w:t>Section 10 – Stability and reactivity</w:t>
      </w:r>
    </w:p>
    <w:p w14:paraId="6182185B" w14:textId="77777777" w:rsidR="00FC0719" w:rsidRPr="00B073D5" w:rsidRDefault="00E9069F" w:rsidP="00FC0719">
      <w:pPr>
        <w:spacing w:before="0"/>
      </w:pPr>
      <w:r w:rsidRPr="00B073D5">
        <w:t>Section 11 – Toxicological information</w:t>
      </w:r>
    </w:p>
    <w:p w14:paraId="6182185C" w14:textId="77777777" w:rsidR="00FC0719" w:rsidRPr="00B073D5" w:rsidRDefault="00E9069F" w:rsidP="00FC0719">
      <w:pPr>
        <w:spacing w:before="0"/>
      </w:pPr>
      <w:r w:rsidRPr="00B073D5">
        <w:t xml:space="preserve">Section 12 – Ecological information </w:t>
      </w:r>
    </w:p>
    <w:p w14:paraId="6182185D" w14:textId="77777777" w:rsidR="00FC0719" w:rsidRPr="00B073D5" w:rsidRDefault="00E9069F" w:rsidP="00FC0719">
      <w:pPr>
        <w:spacing w:before="0"/>
      </w:pPr>
      <w:r w:rsidRPr="00B073D5">
        <w:t>Section 13 – Disposal considerations</w:t>
      </w:r>
    </w:p>
    <w:p w14:paraId="6182185E" w14:textId="77777777" w:rsidR="00FC0719" w:rsidRPr="00B073D5" w:rsidRDefault="00E9069F" w:rsidP="00FC0719">
      <w:pPr>
        <w:spacing w:before="0"/>
      </w:pPr>
      <w:r w:rsidRPr="00B073D5">
        <w:t>Section 14 – Transport information</w:t>
      </w:r>
    </w:p>
    <w:p w14:paraId="6182185F" w14:textId="77777777" w:rsidR="00FC0719" w:rsidRPr="00B073D5" w:rsidRDefault="00E9069F" w:rsidP="00FC0719">
      <w:pPr>
        <w:spacing w:before="0"/>
      </w:pPr>
      <w:r w:rsidRPr="00B073D5">
        <w:t xml:space="preserve">Section 15 – Regulatory information </w:t>
      </w:r>
    </w:p>
    <w:p w14:paraId="61821860" w14:textId="77777777" w:rsidR="00FC0719" w:rsidRPr="00B073D5" w:rsidRDefault="00E9069F" w:rsidP="00FC0719">
      <w:pPr>
        <w:spacing w:before="0"/>
      </w:pPr>
      <w:r w:rsidRPr="00B073D5">
        <w:t>Section 16 – Any other relevant information</w:t>
      </w:r>
    </w:p>
    <w:p w14:paraId="61821861" w14:textId="77777777" w:rsidR="002B2D9E" w:rsidRPr="00B073D5" w:rsidRDefault="002B2D9E" w:rsidP="00FC0719">
      <w:pPr>
        <w:spacing w:before="0"/>
      </w:pPr>
    </w:p>
    <w:p w14:paraId="61821862" w14:textId="2ABB89A5" w:rsidR="002B2D9E" w:rsidRPr="00B073D5" w:rsidRDefault="00E9069F" w:rsidP="00FC0719">
      <w:pPr>
        <w:spacing w:before="0"/>
      </w:pPr>
      <w:r w:rsidRPr="00B073D5">
        <w:t xml:space="preserve">An explanation of </w:t>
      </w:r>
      <w:r w:rsidRPr="00F62F1D">
        <w:t>how to read a Safety Data Sheet</w:t>
      </w:r>
      <w:r w:rsidRPr="00B073D5">
        <w:t xml:space="preserve"> can be found on the </w:t>
      </w:r>
      <w:r w:rsidR="00D653F4">
        <w:t>H&amp;S</w:t>
      </w:r>
      <w:r w:rsidRPr="00B073D5">
        <w:t xml:space="preserve"> </w:t>
      </w:r>
      <w:hyperlink r:id="rId32" w:history="1">
        <w:r w:rsidR="00F62F1D" w:rsidRPr="00F62F1D">
          <w:rPr>
            <w:rStyle w:val="Hyperlink"/>
          </w:rPr>
          <w:t xml:space="preserve">hazardous materials </w:t>
        </w:r>
        <w:r w:rsidRPr="00F62F1D">
          <w:rPr>
            <w:rStyle w:val="Hyperlink"/>
          </w:rPr>
          <w:t>website</w:t>
        </w:r>
      </w:hyperlink>
      <w:r w:rsidRPr="00B073D5">
        <w:t>.</w:t>
      </w:r>
    </w:p>
    <w:p w14:paraId="61821863" w14:textId="77777777" w:rsidR="00FC0719" w:rsidRDefault="00E9069F" w:rsidP="00FC0719">
      <w:r w:rsidRPr="00B073D5">
        <w:t xml:space="preserve">Where a chemical </w:t>
      </w:r>
      <w:r w:rsidR="002B2D9E" w:rsidRPr="00B073D5">
        <w:t>manufacturer is no longer in business and a supplied chemical i</w:t>
      </w:r>
      <w:r w:rsidRPr="00B073D5">
        <w:t xml:space="preserve">s in use/stored and the chemical must be disposed </w:t>
      </w:r>
      <w:r w:rsidR="002B2D9E" w:rsidRPr="00B073D5">
        <w:t xml:space="preserve">when the SDS </w:t>
      </w:r>
      <w:proofErr w:type="gramStart"/>
      <w:r w:rsidR="002B2D9E" w:rsidRPr="00B073D5">
        <w:t>expires, unless</w:t>
      </w:r>
      <w:proofErr w:type="gramEnd"/>
      <w:r w:rsidR="002B2D9E" w:rsidRPr="00B073D5">
        <w:t xml:space="preserve"> appropriate</w:t>
      </w:r>
      <w:r w:rsidRPr="00B073D5">
        <w:t xml:space="preserve"> justification can be made to </w:t>
      </w:r>
      <w:r w:rsidR="00D7101D">
        <w:t xml:space="preserve">the Head of School/Area to </w:t>
      </w:r>
      <w:r w:rsidRPr="00B073D5">
        <w:t xml:space="preserve">keep </w:t>
      </w:r>
      <w:r w:rsidR="002B2D9E" w:rsidRPr="00B073D5">
        <w:t>it</w:t>
      </w:r>
      <w:r w:rsidRPr="00B073D5">
        <w:t>. Th</w:t>
      </w:r>
      <w:r w:rsidR="002B2D9E" w:rsidRPr="00B073D5">
        <w:t>e justification will need to include</w:t>
      </w:r>
      <w:r w:rsidRPr="00B073D5">
        <w:t xml:space="preserve"> an alternative </w:t>
      </w:r>
      <w:r w:rsidR="00417B25">
        <w:t>comparable</w:t>
      </w:r>
      <w:r w:rsidRPr="00B073D5">
        <w:t xml:space="preserve"> SDS and approved risk assessment which </w:t>
      </w:r>
      <w:r w:rsidR="008374C1" w:rsidRPr="00B073D5">
        <w:t xml:space="preserve">includes an assessment of the </w:t>
      </w:r>
      <w:r w:rsidRPr="00B073D5">
        <w:t xml:space="preserve">chemical </w:t>
      </w:r>
      <w:r w:rsidR="008374C1" w:rsidRPr="00B073D5">
        <w:t>age, stability,</w:t>
      </w:r>
      <w:r w:rsidR="002B2D9E" w:rsidRPr="00B073D5">
        <w:t xml:space="preserve"> container &amp; label </w:t>
      </w:r>
      <w:r w:rsidRPr="00B073D5">
        <w:t xml:space="preserve">into consideration.  </w:t>
      </w:r>
    </w:p>
    <w:p w14:paraId="61821864" w14:textId="77777777" w:rsidR="007D3802" w:rsidRPr="00FC0719" w:rsidRDefault="00E9069F" w:rsidP="003A782C">
      <w:pPr>
        <w:pStyle w:val="Heading1"/>
        <w:numPr>
          <w:ilvl w:val="0"/>
          <w:numId w:val="0"/>
        </w:numPr>
        <w:tabs>
          <w:tab w:val="clear" w:pos="851"/>
          <w:tab w:val="left" w:pos="426"/>
        </w:tabs>
      </w:pPr>
      <w:bookmarkStart w:id="45" w:name="_Toc19005503"/>
      <w:bookmarkStart w:id="46" w:name="_Toc101438952"/>
      <w:r>
        <w:t>6.</w:t>
      </w:r>
      <w:r>
        <w:tab/>
      </w:r>
      <w:r w:rsidRPr="00FC0719">
        <w:t>ChemAlert</w:t>
      </w:r>
      <w:bookmarkEnd w:id="45"/>
      <w:bookmarkEnd w:id="46"/>
      <w:r w:rsidRPr="00FC0719">
        <w:t xml:space="preserve"> </w:t>
      </w:r>
    </w:p>
    <w:p w14:paraId="61821865" w14:textId="77777777" w:rsidR="007D3802" w:rsidRDefault="00E9069F" w:rsidP="005E44A4">
      <w:pPr>
        <w:pStyle w:val="Heading2"/>
      </w:pPr>
      <w:bookmarkStart w:id="47" w:name="_Toc19005504"/>
      <w:bookmarkStart w:id="48" w:name="_Toc101438953"/>
      <w:r>
        <w:t xml:space="preserve">6.1 </w:t>
      </w:r>
      <w:r w:rsidR="00D92E5E">
        <w:t xml:space="preserve">  </w:t>
      </w:r>
      <w:r w:rsidR="00600735">
        <w:t>Electronic Chemical Management System</w:t>
      </w:r>
      <w:bookmarkEnd w:id="47"/>
      <w:bookmarkEnd w:id="48"/>
    </w:p>
    <w:p w14:paraId="61821866" w14:textId="77777777" w:rsidR="00CE7039" w:rsidRPr="00CE7039" w:rsidRDefault="00CE7039" w:rsidP="00CE7039">
      <w:pPr>
        <w:spacing w:before="0"/>
        <w:rPr>
          <w:lang w:eastAsia="en-US"/>
        </w:rPr>
      </w:pPr>
    </w:p>
    <w:p w14:paraId="61821867" w14:textId="76039275" w:rsidR="00100EEF" w:rsidRDefault="00E9069F" w:rsidP="00C83736">
      <w:pPr>
        <w:spacing w:before="0"/>
      </w:pPr>
      <w:r w:rsidRPr="00FC0719">
        <w:t xml:space="preserve">Curtin uses </w:t>
      </w:r>
      <w:r w:rsidR="007D3802" w:rsidRPr="00FC0719">
        <w:t>ChemAlert</w:t>
      </w:r>
      <w:r w:rsidR="007D3802" w:rsidRPr="0079434E">
        <w:t xml:space="preserve"> </w:t>
      </w:r>
      <w:r w:rsidR="00600735">
        <w:t>as its</w:t>
      </w:r>
      <w:r w:rsidRPr="0079434E">
        <w:t xml:space="preserve"> </w:t>
      </w:r>
      <w:r w:rsidR="007D3802" w:rsidRPr="0079434E">
        <w:t>elect</w:t>
      </w:r>
      <w:r>
        <w:t xml:space="preserve">ronic chemical management system to assist in meeting regulatory requirements. It provides a register of </w:t>
      </w:r>
      <w:r w:rsidR="00F3335F">
        <w:t xml:space="preserve">hazardous </w:t>
      </w:r>
      <w:r w:rsidR="007D3802" w:rsidRPr="0079434E">
        <w:t xml:space="preserve">chemicals </w:t>
      </w:r>
      <w:r>
        <w:t>stored</w:t>
      </w:r>
      <w:r w:rsidR="007D3802" w:rsidRPr="0079434E">
        <w:t>, provides access to current m</w:t>
      </w:r>
      <w:r w:rsidR="00543BA7">
        <w:t xml:space="preserve">anufacturer safety data </w:t>
      </w:r>
      <w:proofErr w:type="gramStart"/>
      <w:r w:rsidR="00543BA7">
        <w:t>sheets</w:t>
      </w:r>
      <w:proofErr w:type="gramEnd"/>
      <w:r w:rsidR="007D3802" w:rsidRPr="0079434E">
        <w:t xml:space="preserve"> </w:t>
      </w:r>
      <w:r w:rsidR="00543BA7">
        <w:t xml:space="preserve">and </w:t>
      </w:r>
      <w:r w:rsidR="00A62EE3">
        <w:t xml:space="preserve">can be </w:t>
      </w:r>
      <w:r w:rsidR="00543BA7">
        <w:t>used to generate</w:t>
      </w:r>
      <w:r w:rsidR="007D3802" w:rsidRPr="0079434E">
        <w:t xml:space="preserve"> substance labels, local hazardous substance registers and provides dangerous goods manifests for emergency services.</w:t>
      </w:r>
    </w:p>
    <w:p w14:paraId="61821868" w14:textId="77777777" w:rsidR="00D653F4" w:rsidRDefault="00D653F4" w:rsidP="00C83736">
      <w:pPr>
        <w:spacing w:before="0"/>
      </w:pPr>
    </w:p>
    <w:p w14:paraId="61821869" w14:textId="3BBFB886" w:rsidR="007D3802" w:rsidRPr="00543BA7" w:rsidRDefault="00E9069F" w:rsidP="00C83736">
      <w:pPr>
        <w:spacing w:before="0"/>
      </w:pPr>
      <w:r w:rsidRPr="00543BA7">
        <w:t>All university staff and students have read-only access to ChemAlert</w:t>
      </w:r>
      <w:r w:rsidR="00543BA7">
        <w:t xml:space="preserve"> SDS database</w:t>
      </w:r>
      <w:r w:rsidRPr="00543BA7">
        <w:t xml:space="preserve"> via the </w:t>
      </w:r>
      <w:r w:rsidR="00D653F4">
        <w:t>H&amp;S</w:t>
      </w:r>
      <w:r w:rsidR="00D653F4" w:rsidRPr="00543BA7">
        <w:t xml:space="preserve"> </w:t>
      </w:r>
      <w:hyperlink r:id="rId33" w:history="1">
        <w:r w:rsidRPr="00611FF2">
          <w:rPr>
            <w:rStyle w:val="Hyperlink"/>
          </w:rPr>
          <w:t>website</w:t>
        </w:r>
      </w:hyperlink>
      <w:r w:rsidRPr="00543BA7">
        <w:t>. Authorised users with passwords can access the full version of ChemAlert for viewing and maintaining chemical stores and manifests.</w:t>
      </w:r>
    </w:p>
    <w:p w14:paraId="6182186A" w14:textId="15719200" w:rsidR="007D3802" w:rsidRPr="00F97762" w:rsidRDefault="00E9069F" w:rsidP="007D3802">
      <w:r w:rsidRPr="00F97762">
        <w:t>It is</w:t>
      </w:r>
      <w:r w:rsidR="00D06205">
        <w:t xml:space="preserve"> recommended that copies of </w:t>
      </w:r>
      <w:r w:rsidRPr="00F97762">
        <w:t>SDSs</w:t>
      </w:r>
      <w:r w:rsidR="00D06205">
        <w:t xml:space="preserve"> for all chemicals</w:t>
      </w:r>
      <w:r w:rsidRPr="00F97762">
        <w:t xml:space="preserve"> be held by each School or Faculty </w:t>
      </w:r>
      <w:proofErr w:type="gramStart"/>
      <w:r w:rsidRPr="00F97762">
        <w:t xml:space="preserve">and </w:t>
      </w:r>
      <w:r w:rsidR="00D06205">
        <w:t>also</w:t>
      </w:r>
      <w:proofErr w:type="gramEnd"/>
      <w:r w:rsidR="00D06205">
        <w:t xml:space="preserve"> </w:t>
      </w:r>
      <w:r w:rsidRPr="00F97762">
        <w:t>made available to the</w:t>
      </w:r>
      <w:r w:rsidR="00F97762">
        <w:t xml:space="preserve"> </w:t>
      </w:r>
      <w:r w:rsidR="00D653F4">
        <w:t>H&amp;S</w:t>
      </w:r>
      <w:r w:rsidR="00D653F4" w:rsidRPr="00F97762">
        <w:t xml:space="preserve"> </w:t>
      </w:r>
      <w:r w:rsidR="00F97762" w:rsidRPr="00F97762">
        <w:t>ChemAlert Administrator</w:t>
      </w:r>
      <w:r w:rsidRPr="00F97762">
        <w:t xml:space="preserve"> for uploading into ChemAlert prior to use of the chemical. </w:t>
      </w:r>
    </w:p>
    <w:p w14:paraId="6182186B" w14:textId="0E1856C6" w:rsidR="00F97762" w:rsidRDefault="00E9069F" w:rsidP="00F97762">
      <w:r>
        <w:t xml:space="preserve">Online training for ChemAlert is </w:t>
      </w:r>
      <w:r w:rsidR="007D3802" w:rsidRPr="00543BA7">
        <w:t xml:space="preserve">available for all staff and HDR students who may be required to use chemicals. </w:t>
      </w:r>
      <w:r w:rsidRPr="00543BA7">
        <w:t xml:space="preserve">Specific Search &amp; Stock </w:t>
      </w:r>
      <w:r>
        <w:t>training</w:t>
      </w:r>
      <w:r w:rsidRPr="00543BA7">
        <w:t xml:space="preserve"> is made</w:t>
      </w:r>
      <w:r w:rsidR="007D3802" w:rsidRPr="00543BA7">
        <w:t xml:space="preserve"> </w:t>
      </w:r>
      <w:r>
        <w:t xml:space="preserve">available through </w:t>
      </w:r>
      <w:proofErr w:type="spellStart"/>
      <w:r w:rsidR="00611FF2">
        <w:t>i</w:t>
      </w:r>
      <w:r w:rsidR="00D653F4">
        <w:t>P</w:t>
      </w:r>
      <w:r w:rsidR="00611FF2">
        <w:t>e</w:t>
      </w:r>
      <w:r w:rsidR="00D653F4">
        <w:t>rform</w:t>
      </w:r>
      <w:proofErr w:type="spellEnd"/>
      <w:r w:rsidRPr="00543BA7">
        <w:t xml:space="preserve"> </w:t>
      </w:r>
      <w:r>
        <w:t>for staff who require a ChemAlert login.</w:t>
      </w:r>
      <w:r w:rsidR="00FC0719">
        <w:t xml:space="preserve"> The Head of School/Area shall nominate appropriate staff to manage ChemAlert.  </w:t>
      </w:r>
      <w:r w:rsidR="007D3802" w:rsidRPr="00543BA7">
        <w:t xml:space="preserve">Contact the </w:t>
      </w:r>
      <w:r w:rsidR="00D653F4">
        <w:t>H&amp;S</w:t>
      </w:r>
      <w:r w:rsidR="007D3802" w:rsidRPr="00543BA7">
        <w:t xml:space="preserve"> Department for further information.</w:t>
      </w:r>
      <w:r w:rsidR="00543BA7">
        <w:t xml:space="preserve"> </w:t>
      </w:r>
    </w:p>
    <w:p w14:paraId="6182186C" w14:textId="77777777" w:rsidR="007D3802" w:rsidRPr="00FC0719" w:rsidRDefault="00E9069F" w:rsidP="005E44A4">
      <w:pPr>
        <w:pStyle w:val="Heading2"/>
      </w:pPr>
      <w:bookmarkStart w:id="49" w:name="_Toc19005505"/>
      <w:bookmarkStart w:id="50" w:name="_Toc101438954"/>
      <w:r>
        <w:lastRenderedPageBreak/>
        <w:t xml:space="preserve">6.2 </w:t>
      </w:r>
      <w:r w:rsidR="00D92E5E">
        <w:t xml:space="preserve">  </w:t>
      </w:r>
      <w:r w:rsidRPr="00C83736">
        <w:t xml:space="preserve">Chemical </w:t>
      </w:r>
      <w:r w:rsidR="00600735" w:rsidRPr="00C83736">
        <w:t>Holdings</w:t>
      </w:r>
      <w:bookmarkEnd w:id="49"/>
      <w:bookmarkEnd w:id="50"/>
    </w:p>
    <w:p w14:paraId="1EE4AA2E" w14:textId="56C59503" w:rsidR="0007456C" w:rsidRDefault="00E9069F">
      <w:r w:rsidRPr="00FC0719">
        <w:t xml:space="preserve">All University workplaces must enter the maximum quantities of </w:t>
      </w:r>
      <w:r w:rsidR="00F3335F">
        <w:t xml:space="preserve">hazardous </w:t>
      </w:r>
      <w:r w:rsidRPr="00FC0719">
        <w:t xml:space="preserve">chemicals </w:t>
      </w:r>
      <w:r w:rsidR="00FC0719" w:rsidRPr="00FC0719">
        <w:t>stored</w:t>
      </w:r>
      <w:r w:rsidRPr="00FC0719">
        <w:t xml:space="preserve"> into the ChemAlert Stockholding for the relevant storage location</w:t>
      </w:r>
      <w:r w:rsidR="00726512">
        <w:t xml:space="preserve"> (a partly empty container must be considered as full for this purpose)</w:t>
      </w:r>
      <w:r w:rsidRPr="00FC0719">
        <w:t xml:space="preserve">. Each area </w:t>
      </w:r>
      <w:r w:rsidR="00FC0719" w:rsidRPr="00FC0719">
        <w:t>shall check</w:t>
      </w:r>
      <w:r w:rsidR="00FC0719">
        <w:t xml:space="preserve"> the</w:t>
      </w:r>
      <w:r w:rsidRPr="00FC0719">
        <w:t xml:space="preserve"> ChemAlert</w:t>
      </w:r>
      <w:r w:rsidR="00600735" w:rsidRPr="00600735">
        <w:t xml:space="preserve"> </w:t>
      </w:r>
      <w:r w:rsidR="00600735" w:rsidRPr="00FC0719">
        <w:t>Stockholding</w:t>
      </w:r>
      <w:r w:rsidRPr="00FC0719">
        <w:t xml:space="preserve"> against the </w:t>
      </w:r>
      <w:r w:rsidR="00600735">
        <w:t xml:space="preserve">physical </w:t>
      </w:r>
      <w:r w:rsidRPr="00FC0719">
        <w:t>stock held (</w:t>
      </w:r>
      <w:proofErr w:type="gramStart"/>
      <w:r w:rsidRPr="00FC0719">
        <w:t>i.e.</w:t>
      </w:r>
      <w:proofErr w:type="gramEnd"/>
      <w:r w:rsidRPr="00FC0719">
        <w:t xml:space="preserve"> stocktake) at least twice yearly to ensure all chemicals are entered and the information is correct. This process should be completed prior to the chemical waste disposal</w:t>
      </w:r>
      <w:r w:rsidR="00D653F4">
        <w:t>s</w:t>
      </w:r>
      <w:r w:rsidRPr="00FC0719">
        <w:t>.</w:t>
      </w:r>
      <w:r w:rsidR="00B35366">
        <w:t xml:space="preserve"> </w:t>
      </w:r>
    </w:p>
    <w:p w14:paraId="4BACB204" w14:textId="1F859274" w:rsidR="00710310" w:rsidRPr="003A782C" w:rsidRDefault="0007456C">
      <w:pPr>
        <w:rPr>
          <w:lang w:eastAsia="en-US"/>
        </w:rPr>
      </w:pPr>
      <w:r w:rsidRPr="0043047F">
        <w:rPr>
          <w:b/>
        </w:rPr>
        <w:t>Note:</w:t>
      </w:r>
      <w:r>
        <w:t xml:space="preserve"> R</w:t>
      </w:r>
      <w:r w:rsidRPr="0043047F">
        <w:t xml:space="preserve">efer </w:t>
      </w:r>
      <w:r>
        <w:t xml:space="preserve">also </w:t>
      </w:r>
      <w:r w:rsidRPr="0043047F">
        <w:t xml:space="preserve">to section </w:t>
      </w:r>
      <w:r w:rsidRPr="0043047F">
        <w:rPr>
          <w:i/>
        </w:rPr>
        <w:fldChar w:fldCharType="begin"/>
      </w:r>
      <w:r w:rsidRPr="0043047F">
        <w:rPr>
          <w:i/>
        </w:rPr>
        <w:instrText xml:space="preserve"> REF _Ref57634119 \h  \* MERGEFORMAT </w:instrText>
      </w:r>
      <w:r w:rsidRPr="0043047F">
        <w:rPr>
          <w:i/>
        </w:rPr>
      </w:r>
      <w:r w:rsidRPr="0043047F">
        <w:rPr>
          <w:i/>
        </w:rPr>
        <w:fldChar w:fldCharType="separate"/>
      </w:r>
      <w:r w:rsidRPr="0043047F">
        <w:rPr>
          <w:i/>
        </w:rPr>
        <w:t>10.5   Storage of Time Sensitive Chemicals</w:t>
      </w:r>
      <w:r w:rsidRPr="0043047F">
        <w:rPr>
          <w:i/>
        </w:rPr>
        <w:fldChar w:fldCharType="end"/>
      </w:r>
      <w:r>
        <w:t xml:space="preserve"> where shorter timeframes are specified for the physical inspection of some chemical holdings due to risk.</w:t>
      </w:r>
    </w:p>
    <w:p w14:paraId="6182186E" w14:textId="1FA7C462" w:rsidR="00600735" w:rsidRPr="0050219A" w:rsidRDefault="00E9069F" w:rsidP="005E44A4">
      <w:pPr>
        <w:pStyle w:val="Heading2"/>
      </w:pPr>
      <w:bookmarkStart w:id="51" w:name="_Toc19005506"/>
      <w:bookmarkStart w:id="52" w:name="_Toc101438955"/>
      <w:r>
        <w:t xml:space="preserve">6.3 </w:t>
      </w:r>
      <w:r w:rsidR="00D92E5E">
        <w:t xml:space="preserve">  </w:t>
      </w:r>
      <w:r w:rsidRPr="0050219A">
        <w:t>Other ChemAlert Functions</w:t>
      </w:r>
      <w:bookmarkEnd w:id="51"/>
      <w:bookmarkEnd w:id="52"/>
    </w:p>
    <w:p w14:paraId="6182186F" w14:textId="03020F4D" w:rsidR="00600735" w:rsidRDefault="00E9069F" w:rsidP="004A10BE">
      <w:pPr>
        <w:rPr>
          <w:highlight w:val="yellow"/>
        </w:rPr>
      </w:pPr>
      <w:r w:rsidRPr="0050219A">
        <w:t>Authorised login holders can use ChemAlert to produce various reports and information about the stock holdings. These include a</w:t>
      </w:r>
      <w:r w:rsidR="00425A60" w:rsidRPr="0050219A">
        <w:t>n</w:t>
      </w:r>
      <w:r w:rsidRPr="0050219A">
        <w:t xml:space="preserve"> Incompatibility Report to assist with the identification of </w:t>
      </w:r>
      <w:r w:rsidR="00425A60" w:rsidRPr="0050219A">
        <w:t xml:space="preserve">potential chemical storage incompatibilities. </w:t>
      </w:r>
      <w:r w:rsidRPr="0050219A">
        <w:t xml:space="preserve"> </w:t>
      </w:r>
      <w:r w:rsidR="00425A60" w:rsidRPr="0050219A">
        <w:t>ChemAlert also has report functionalities that can provide information</w:t>
      </w:r>
      <w:r w:rsidR="00D16FA9" w:rsidRPr="0050219A">
        <w:t xml:space="preserve"> to identify</w:t>
      </w:r>
      <w:r w:rsidR="00425A60" w:rsidRPr="0050219A">
        <w:t xml:space="preserve"> </w:t>
      </w:r>
      <w:r w:rsidR="00D16FA9" w:rsidRPr="0050219A">
        <w:t xml:space="preserve">other regulatory information </w:t>
      </w:r>
      <w:r w:rsidR="00425A60" w:rsidRPr="0050219A">
        <w:t>suc</w:t>
      </w:r>
      <w:r w:rsidR="00D16FA9" w:rsidRPr="0050219A">
        <w:t>h as poisons scheduling</w:t>
      </w:r>
      <w:r w:rsidR="00425A60" w:rsidRPr="0050219A">
        <w:t xml:space="preserve"> on chemical</w:t>
      </w:r>
      <w:r w:rsidR="00D16FA9" w:rsidRPr="0050219A">
        <w:t>s</w:t>
      </w:r>
      <w:r w:rsidR="00425A60" w:rsidRPr="0050219A">
        <w:t xml:space="preserve"> held. It should be noted that t</w:t>
      </w:r>
      <w:r w:rsidRPr="0050219A">
        <w:t xml:space="preserve">hese reports are a guide and </w:t>
      </w:r>
      <w:r w:rsidR="00425A60" w:rsidRPr="0050219A">
        <w:t xml:space="preserve">are not a </w:t>
      </w:r>
      <w:r w:rsidRPr="0050219A">
        <w:t>replace</w:t>
      </w:r>
      <w:r w:rsidR="00425A60" w:rsidRPr="0050219A">
        <w:t xml:space="preserve">ment for </w:t>
      </w:r>
      <w:r w:rsidR="003023D2">
        <w:t>SDSs</w:t>
      </w:r>
      <w:r w:rsidRPr="0050219A">
        <w:t xml:space="preserve"> or risk assessment.</w:t>
      </w:r>
    </w:p>
    <w:p w14:paraId="61821870" w14:textId="1E6EA02B" w:rsidR="00AB0621" w:rsidRDefault="00E9069F" w:rsidP="003A782C">
      <w:pPr>
        <w:pStyle w:val="Heading1"/>
        <w:numPr>
          <w:ilvl w:val="0"/>
          <w:numId w:val="0"/>
        </w:numPr>
        <w:tabs>
          <w:tab w:val="clear" w:pos="851"/>
          <w:tab w:val="left" w:pos="426"/>
        </w:tabs>
      </w:pPr>
      <w:bookmarkStart w:id="53" w:name="_Toc19005507"/>
      <w:bookmarkStart w:id="54" w:name="_Toc101438956"/>
      <w:r>
        <w:t>7.</w:t>
      </w:r>
      <w:r w:rsidR="00C7321A">
        <w:tab/>
      </w:r>
      <w:r>
        <w:t xml:space="preserve">Risk Assessment </w:t>
      </w:r>
      <w:r w:rsidR="00653F4C">
        <w:t>of Tasks invol</w:t>
      </w:r>
      <w:r w:rsidR="0055466B">
        <w:t>v</w:t>
      </w:r>
      <w:r w:rsidR="00653F4C">
        <w:t>ing Chemicals</w:t>
      </w:r>
      <w:bookmarkEnd w:id="53"/>
      <w:bookmarkEnd w:id="54"/>
    </w:p>
    <w:p w14:paraId="61821871" w14:textId="77777777" w:rsidR="00AB0621" w:rsidRDefault="00E9069F" w:rsidP="005E44A4">
      <w:pPr>
        <w:pStyle w:val="Heading2"/>
      </w:pPr>
      <w:bookmarkStart w:id="55" w:name="_Toc19005508"/>
      <w:bookmarkStart w:id="56" w:name="_Toc101438957"/>
      <w:r>
        <w:t>7.1</w:t>
      </w:r>
      <w:r w:rsidR="001B3F70">
        <w:t xml:space="preserve"> </w:t>
      </w:r>
      <w:r w:rsidR="00D92E5E">
        <w:t xml:space="preserve">  </w:t>
      </w:r>
      <w:r w:rsidRPr="004C7285">
        <w:t>General Information</w:t>
      </w:r>
      <w:bookmarkEnd w:id="55"/>
      <w:bookmarkEnd w:id="56"/>
    </w:p>
    <w:p w14:paraId="61821872" w14:textId="160E9B9F" w:rsidR="00C10C08" w:rsidRDefault="00E9069F" w:rsidP="00FD7335">
      <w:r w:rsidRPr="004C7285">
        <w:t xml:space="preserve">Before </w:t>
      </w:r>
      <w:r>
        <w:t>undertaking any task using</w:t>
      </w:r>
      <w:r w:rsidRPr="004C7285">
        <w:t xml:space="preserve"> </w:t>
      </w:r>
      <w:r w:rsidR="00D57D49">
        <w:t xml:space="preserve">hazardous or dangerous </w:t>
      </w:r>
      <w:r w:rsidRPr="004C7285">
        <w:t xml:space="preserve">chemicals a risk assessment must be undertaken to determine the possible hazards of the product and the control measures required for its safe use. </w:t>
      </w:r>
      <w:r w:rsidR="00F868A6" w:rsidRPr="00F868A6">
        <w:t>When performing risk assessments, utilise s</w:t>
      </w:r>
      <w:r w:rsidR="004C7285" w:rsidRPr="00F868A6">
        <w:t xml:space="preserve">ources of health and safety information </w:t>
      </w:r>
      <w:r w:rsidR="00F868A6" w:rsidRPr="00F868A6">
        <w:t>such as</w:t>
      </w:r>
      <w:r w:rsidR="004C7285" w:rsidRPr="00F868A6">
        <w:t xml:space="preserve"> </w:t>
      </w:r>
      <w:r w:rsidR="003023D2">
        <w:t>SDSs</w:t>
      </w:r>
      <w:r w:rsidR="004C7285" w:rsidRPr="00F868A6">
        <w:t xml:space="preserve"> from ChemAlert, (SDS database) and/or potential suppliers, </w:t>
      </w:r>
      <w:r w:rsidR="00F868A6" w:rsidRPr="00F868A6">
        <w:t xml:space="preserve">together with </w:t>
      </w:r>
      <w:r w:rsidR="004C7285" w:rsidRPr="00F868A6">
        <w:t xml:space="preserve">information </w:t>
      </w:r>
      <w:r w:rsidR="00F868A6" w:rsidRPr="00F868A6">
        <w:t xml:space="preserve">available </w:t>
      </w:r>
      <w:r w:rsidR="004C7285" w:rsidRPr="00F868A6">
        <w:t>from reputable sources</w:t>
      </w:r>
      <w:r>
        <w:t xml:space="preserve">, such as </w:t>
      </w:r>
      <w:r w:rsidR="00F868A6" w:rsidRPr="00F868A6">
        <w:t>Safe Work Australia</w:t>
      </w:r>
      <w:r>
        <w:t>,</w:t>
      </w:r>
      <w:r w:rsidR="00F868A6" w:rsidRPr="00F868A6">
        <w:t xml:space="preserve"> </w:t>
      </w:r>
      <w:proofErr w:type="spellStart"/>
      <w:r w:rsidR="00F868A6" w:rsidRPr="00F868A6">
        <w:t>Worksafe</w:t>
      </w:r>
      <w:proofErr w:type="spellEnd"/>
      <w:r w:rsidR="00F868A6" w:rsidRPr="00F868A6">
        <w:t xml:space="preserve"> and the World Health Organisation</w:t>
      </w:r>
      <w:r>
        <w:t>.</w:t>
      </w:r>
      <w:r w:rsidR="006E6936">
        <w:t xml:space="preserve"> Risk assessment should be performed using the</w:t>
      </w:r>
      <w:r w:rsidR="0012723F">
        <w:t xml:space="preserve"> online Risk Assessment Module Available in </w:t>
      </w:r>
      <w:hyperlink r:id="rId34" w:history="1">
        <w:r w:rsidR="0012723F" w:rsidRPr="0012723F">
          <w:rPr>
            <w:rStyle w:val="Hyperlink"/>
          </w:rPr>
          <w:t>C</w:t>
        </w:r>
        <w:r w:rsidR="004B4FFC">
          <w:rPr>
            <w:rStyle w:val="Hyperlink"/>
          </w:rPr>
          <w:t>.</w:t>
        </w:r>
        <w:r w:rsidR="0012723F" w:rsidRPr="0012723F">
          <w:rPr>
            <w:rStyle w:val="Hyperlink"/>
          </w:rPr>
          <w:t>H</w:t>
        </w:r>
        <w:r w:rsidR="004B4FFC">
          <w:rPr>
            <w:rStyle w:val="Hyperlink"/>
          </w:rPr>
          <w:t>.</w:t>
        </w:r>
        <w:r w:rsidR="0012723F" w:rsidRPr="0012723F">
          <w:rPr>
            <w:rStyle w:val="Hyperlink"/>
          </w:rPr>
          <w:t>A</w:t>
        </w:r>
        <w:r w:rsidR="004B4FFC">
          <w:rPr>
            <w:rStyle w:val="Hyperlink"/>
          </w:rPr>
          <w:t>.</w:t>
        </w:r>
        <w:r w:rsidR="0012723F" w:rsidRPr="0012723F">
          <w:rPr>
            <w:rStyle w:val="Hyperlink"/>
          </w:rPr>
          <w:t>R</w:t>
        </w:r>
        <w:r w:rsidR="004B4FFC">
          <w:rPr>
            <w:rStyle w:val="Hyperlink"/>
          </w:rPr>
          <w:t>.</w:t>
        </w:r>
        <w:r w:rsidR="0012723F" w:rsidRPr="0012723F">
          <w:rPr>
            <w:rStyle w:val="Hyperlink"/>
          </w:rPr>
          <w:t>M</w:t>
        </w:r>
      </w:hyperlink>
      <w:r w:rsidR="0012723F">
        <w:t xml:space="preserve">. </w:t>
      </w:r>
    </w:p>
    <w:p w14:paraId="61821873" w14:textId="77777777" w:rsidR="00AB0621" w:rsidRDefault="00E9069F" w:rsidP="005E44A4">
      <w:pPr>
        <w:pStyle w:val="Heading2"/>
      </w:pPr>
      <w:bookmarkStart w:id="57" w:name="_Toc19005509"/>
      <w:bookmarkStart w:id="58" w:name="_Toc101438958"/>
      <w:r>
        <w:t xml:space="preserve">7.2 </w:t>
      </w:r>
      <w:r w:rsidR="00D92E5E">
        <w:t xml:space="preserve">  </w:t>
      </w:r>
      <w:r w:rsidR="00C10C08">
        <w:t>Roles and Responsibilities</w:t>
      </w:r>
      <w:bookmarkEnd w:id="57"/>
      <w:bookmarkEnd w:id="58"/>
      <w:r>
        <w:t xml:space="preserve"> </w:t>
      </w:r>
    </w:p>
    <w:p w14:paraId="61821874" w14:textId="77777777" w:rsidR="00C10C08" w:rsidRPr="00CD5D08" w:rsidRDefault="00E9069F" w:rsidP="00C10C08">
      <w:pPr>
        <w:autoSpaceDE w:val="0"/>
        <w:autoSpaceDN w:val="0"/>
        <w:adjustRightInd w:val="0"/>
        <w:rPr>
          <w:rFonts w:cs="Arial"/>
          <w:b/>
          <w:color w:val="000000" w:themeColor="text1"/>
        </w:rPr>
      </w:pPr>
      <w:r w:rsidRPr="00CD5D08">
        <w:rPr>
          <w:rFonts w:cs="Arial"/>
          <w:b/>
          <w:color w:val="000000" w:themeColor="text1"/>
        </w:rPr>
        <w:t>Who is responsible for ensuring the risk assessment is completed?</w:t>
      </w:r>
    </w:p>
    <w:p w14:paraId="61821875" w14:textId="77777777" w:rsidR="002B3C9B" w:rsidRPr="002B3C9B" w:rsidRDefault="00E9069F" w:rsidP="00FD7335">
      <w:pPr>
        <w:rPr>
          <w:lang w:eastAsia="en-US"/>
        </w:rPr>
      </w:pPr>
      <w:r>
        <w:rPr>
          <w:lang w:eastAsia="en-US"/>
        </w:rPr>
        <w:t>Managers and supervisors are responsible for ensuring that risk assessment</w:t>
      </w:r>
      <w:r w:rsidR="00D57D49">
        <w:rPr>
          <w:lang w:eastAsia="en-US"/>
        </w:rPr>
        <w:t>s</w:t>
      </w:r>
      <w:r>
        <w:rPr>
          <w:lang w:eastAsia="en-US"/>
        </w:rPr>
        <w:t xml:space="preserve"> are undertak</w:t>
      </w:r>
      <w:r w:rsidR="00D57D49">
        <w:rPr>
          <w:lang w:eastAsia="en-US"/>
        </w:rPr>
        <w:t>en</w:t>
      </w:r>
      <w:r>
        <w:rPr>
          <w:lang w:eastAsia="en-US"/>
        </w:rPr>
        <w:t xml:space="preserve"> in the areas of their control. </w:t>
      </w:r>
      <w:r w:rsidR="002C60EA" w:rsidRPr="00874ACC">
        <w:rPr>
          <w:rFonts w:cs="Arial"/>
          <w:color w:val="000000"/>
        </w:rPr>
        <w:t xml:space="preserve">The </w:t>
      </w:r>
      <w:r w:rsidR="002C60EA">
        <w:rPr>
          <w:rFonts w:cs="Arial"/>
          <w:color w:val="000000"/>
        </w:rPr>
        <w:t>Manager/</w:t>
      </w:r>
      <w:r w:rsidR="002C60EA" w:rsidRPr="00874ACC">
        <w:rPr>
          <w:rFonts w:cs="Arial"/>
          <w:color w:val="000000"/>
        </w:rPr>
        <w:t>supervisor is also responsible for ensuring risk assessments are stored, available and reviewed as required</w:t>
      </w:r>
      <w:r>
        <w:rPr>
          <w:lang w:eastAsia="en-US"/>
        </w:rPr>
        <w:t xml:space="preserve">. </w:t>
      </w:r>
    </w:p>
    <w:p w14:paraId="61821876" w14:textId="77777777" w:rsidR="00C10C08" w:rsidRPr="00CD5D08" w:rsidRDefault="00E9069F" w:rsidP="00C10C08">
      <w:pPr>
        <w:autoSpaceDE w:val="0"/>
        <w:autoSpaceDN w:val="0"/>
        <w:adjustRightInd w:val="0"/>
        <w:rPr>
          <w:rFonts w:cs="Arial"/>
          <w:b/>
          <w:color w:val="000000" w:themeColor="text1"/>
        </w:rPr>
      </w:pPr>
      <w:r w:rsidRPr="00CD5D08">
        <w:rPr>
          <w:rFonts w:cs="Arial"/>
          <w:b/>
          <w:color w:val="000000" w:themeColor="text1"/>
        </w:rPr>
        <w:t xml:space="preserve">Who Completes the Risk Assessment? </w:t>
      </w:r>
    </w:p>
    <w:p w14:paraId="61821877" w14:textId="77777777" w:rsidR="00C10C08" w:rsidRDefault="00E9069F" w:rsidP="00FD7335">
      <w:r>
        <w:t>Task based r</w:t>
      </w:r>
      <w:r w:rsidRPr="00464B36">
        <w:t xml:space="preserve">isk assessments should be conducted by </w:t>
      </w:r>
      <w:r w:rsidR="002B3C9B">
        <w:t xml:space="preserve">the person conducting the activity </w:t>
      </w:r>
      <w:r w:rsidRPr="00464B36">
        <w:t>work with chemicals.</w:t>
      </w:r>
      <w:r w:rsidRPr="00874ACC">
        <w:t xml:space="preserve"> The </w:t>
      </w:r>
      <w:r w:rsidR="00DB44FD">
        <w:t xml:space="preserve">manager/supervisor </w:t>
      </w:r>
      <w:r w:rsidRPr="00874ACC">
        <w:t xml:space="preserve">endorses the risk assessment </w:t>
      </w:r>
      <w:r w:rsidR="002B3C9B">
        <w:t>ensuring that it has been</w:t>
      </w:r>
      <w:r w:rsidRPr="00874ACC">
        <w:t xml:space="preserve"> </w:t>
      </w:r>
      <w:r w:rsidR="0036708F">
        <w:t>reviewed</w:t>
      </w:r>
      <w:r w:rsidRPr="00874ACC">
        <w:t xml:space="preserve"> </w:t>
      </w:r>
      <w:r w:rsidR="002B3C9B">
        <w:t xml:space="preserve">by a competent person </w:t>
      </w:r>
      <w:r w:rsidR="00B61774">
        <w:t xml:space="preserve">who </w:t>
      </w:r>
      <w:proofErr w:type="gramStart"/>
      <w:r w:rsidR="00B61774">
        <w:t>has understanding of</w:t>
      </w:r>
      <w:proofErr w:type="gramEnd"/>
      <w:r w:rsidR="00B61774">
        <w:t xml:space="preserve"> the work being undertaken </w:t>
      </w:r>
      <w:r w:rsidRPr="00874ACC">
        <w:t xml:space="preserve">and that </w:t>
      </w:r>
      <w:r w:rsidR="002B3C9B">
        <w:t xml:space="preserve">appropriate </w:t>
      </w:r>
      <w:r w:rsidRPr="00874ACC">
        <w:t xml:space="preserve">hazard control measures will be implemented prior to commencement of work. </w:t>
      </w:r>
      <w:r w:rsidR="00FD7335">
        <w:t>(</w:t>
      </w:r>
      <w:r w:rsidR="00B61774">
        <w:t>The competent person may also be the manager supervisor)</w:t>
      </w:r>
    </w:p>
    <w:p w14:paraId="61821878" w14:textId="77777777" w:rsidR="00C10C08" w:rsidRPr="00CD5D08" w:rsidRDefault="00E9069F" w:rsidP="00C10C08">
      <w:pPr>
        <w:autoSpaceDE w:val="0"/>
        <w:autoSpaceDN w:val="0"/>
        <w:adjustRightInd w:val="0"/>
        <w:jc w:val="left"/>
        <w:rPr>
          <w:rFonts w:cs="Arial"/>
          <w:b/>
          <w:color w:val="000000" w:themeColor="text1"/>
        </w:rPr>
      </w:pPr>
      <w:r w:rsidRPr="00CD5D08">
        <w:rPr>
          <w:rFonts w:cs="Arial"/>
          <w:b/>
          <w:color w:val="000000" w:themeColor="text1"/>
        </w:rPr>
        <w:t xml:space="preserve">Who is responsible for </w:t>
      </w:r>
      <w:r w:rsidR="00854827">
        <w:rPr>
          <w:rFonts w:cs="Arial"/>
          <w:b/>
          <w:color w:val="000000" w:themeColor="text1"/>
        </w:rPr>
        <w:t>authorisation</w:t>
      </w:r>
      <w:r w:rsidRPr="00CD5D08">
        <w:rPr>
          <w:rFonts w:cs="Arial"/>
          <w:b/>
          <w:color w:val="000000" w:themeColor="text1"/>
        </w:rPr>
        <w:t>?</w:t>
      </w:r>
    </w:p>
    <w:p w14:paraId="61821879" w14:textId="77777777" w:rsidR="00C10C08" w:rsidRDefault="00E9069F" w:rsidP="00FD7335">
      <w:r w:rsidRPr="00874ACC">
        <w:t xml:space="preserve">Finally, </w:t>
      </w:r>
      <w:r w:rsidR="002C60EA">
        <w:t>the manager/supervisor</w:t>
      </w:r>
      <w:r w:rsidRPr="00874ACC">
        <w:t xml:space="preserve"> </w:t>
      </w:r>
      <w:r w:rsidR="00854827">
        <w:t>must authorise</w:t>
      </w:r>
      <w:r w:rsidR="002C60EA" w:rsidRPr="00874ACC">
        <w:t xml:space="preserve"> the risk assessment to allow the work to commence.</w:t>
      </w:r>
      <w:r w:rsidR="002C60EA">
        <w:t xml:space="preserve"> </w:t>
      </w:r>
      <w:r w:rsidR="00B61774">
        <w:t>Approval</w:t>
      </w:r>
      <w:r w:rsidR="002C60EA">
        <w:t xml:space="preserve"> may be escalated based on an evaluation of the residual </w:t>
      </w:r>
      <w:r w:rsidR="00B61774">
        <w:t xml:space="preserve">risk </w:t>
      </w:r>
      <w:r w:rsidR="00D7101D">
        <w:t xml:space="preserve">according to Curtin University’s </w:t>
      </w:r>
      <w:hyperlink r:id="rId35" w:history="1">
        <w:r w:rsidR="00D7101D" w:rsidRPr="00D7101D">
          <w:rPr>
            <w:rStyle w:val="Hyperlink"/>
          </w:rPr>
          <w:t>risk reference tables</w:t>
        </w:r>
      </w:hyperlink>
      <w:r w:rsidR="004A10BE">
        <w:t>, l</w:t>
      </w:r>
      <w:r w:rsidR="004A10BE" w:rsidRPr="004A10BE">
        <w:t xml:space="preserve">ocated </w:t>
      </w:r>
      <w:r w:rsidR="004A10BE">
        <w:t xml:space="preserve">in the </w:t>
      </w:r>
      <w:hyperlink r:id="rId36" w:history="1">
        <w:r w:rsidR="004A10BE" w:rsidRPr="004A10BE">
          <w:rPr>
            <w:rStyle w:val="Hyperlink"/>
          </w:rPr>
          <w:t>Risk Management Framework</w:t>
        </w:r>
      </w:hyperlink>
      <w:r w:rsidR="004A10BE">
        <w:t>.</w:t>
      </w:r>
    </w:p>
    <w:p w14:paraId="6182187A" w14:textId="77777777" w:rsidR="00AB0621" w:rsidRDefault="00E9069F" w:rsidP="005E44A4">
      <w:pPr>
        <w:pStyle w:val="Heading2"/>
      </w:pPr>
      <w:bookmarkStart w:id="59" w:name="_Toc19005510"/>
      <w:bookmarkStart w:id="60" w:name="_Toc101438959"/>
      <w:r>
        <w:lastRenderedPageBreak/>
        <w:t xml:space="preserve">7.3 </w:t>
      </w:r>
      <w:r w:rsidR="00D92E5E">
        <w:t xml:space="preserve">  </w:t>
      </w:r>
      <w:r w:rsidR="00053EE7">
        <w:t xml:space="preserve">Review of </w:t>
      </w:r>
      <w:r w:rsidR="006E6936">
        <w:t xml:space="preserve">Chemical Task </w:t>
      </w:r>
      <w:r w:rsidR="00053EE7">
        <w:t>Risk Assessment</w:t>
      </w:r>
      <w:bookmarkEnd w:id="59"/>
      <w:bookmarkEnd w:id="60"/>
    </w:p>
    <w:p w14:paraId="6182187B" w14:textId="232909E0" w:rsidR="006E6936" w:rsidRDefault="00E9069F" w:rsidP="006E6936">
      <w:r>
        <w:t>It is good work practice to review assessments whenever undertaking an activity.</w:t>
      </w:r>
      <w:r w:rsidRPr="004E7C85">
        <w:t xml:space="preserve"> </w:t>
      </w:r>
      <w:r>
        <w:t xml:space="preserve">Safe Work Procedures should be developed when an activity becomes routine and is used by multiple people. The Safe </w:t>
      </w:r>
      <w:r w:rsidR="00E47F62">
        <w:t>W</w:t>
      </w:r>
      <w:r>
        <w:t xml:space="preserve">ork </w:t>
      </w:r>
      <w:r w:rsidR="00E47F62">
        <w:t>P</w:t>
      </w:r>
      <w:r>
        <w:t xml:space="preserve">rocedure records the residual risk only.  </w:t>
      </w:r>
    </w:p>
    <w:p w14:paraId="6182187C" w14:textId="77777777" w:rsidR="00AB0621" w:rsidRDefault="00E9069F" w:rsidP="00AB0621">
      <w:r>
        <w:t xml:space="preserve">Risk Assessment should </w:t>
      </w:r>
      <w:r w:rsidR="006E6936">
        <w:t xml:space="preserve">also </w:t>
      </w:r>
      <w:r>
        <w:t xml:space="preserve">be reviewed where there are changes to the environment or systems of work that alter the effectiveness of the original controls such as: </w:t>
      </w:r>
    </w:p>
    <w:p w14:paraId="6182187D" w14:textId="77777777" w:rsidR="00053EE7" w:rsidRDefault="00E9069F" w:rsidP="00C83736">
      <w:pPr>
        <w:pStyle w:val="Bullet1"/>
      </w:pPr>
      <w:r>
        <w:t xml:space="preserve">change of chemical </w:t>
      </w:r>
      <w:proofErr w:type="gramStart"/>
      <w:r>
        <w:t>supplier</w:t>
      </w:r>
      <w:r w:rsidR="0026629A">
        <w:t>;</w:t>
      </w:r>
      <w:proofErr w:type="gramEnd"/>
    </w:p>
    <w:p w14:paraId="6182187E" w14:textId="77777777" w:rsidR="00AB0621" w:rsidRDefault="00E9069F">
      <w:pPr>
        <w:pStyle w:val="Bullet1"/>
      </w:pPr>
      <w:r>
        <w:t xml:space="preserve">a new chemical is introduced into the work </w:t>
      </w:r>
      <w:proofErr w:type="gramStart"/>
      <w:r>
        <w:t>area;</w:t>
      </w:r>
      <w:proofErr w:type="gramEnd"/>
      <w:r>
        <w:t xml:space="preserve"> </w:t>
      </w:r>
    </w:p>
    <w:p w14:paraId="6182187F" w14:textId="77777777" w:rsidR="00AB0621" w:rsidRDefault="00E9069F">
      <w:pPr>
        <w:pStyle w:val="Bullet1"/>
      </w:pPr>
      <w:r>
        <w:t xml:space="preserve">the process or plant is </w:t>
      </w:r>
      <w:proofErr w:type="gramStart"/>
      <w:r>
        <w:t>modified;</w:t>
      </w:r>
      <w:proofErr w:type="gramEnd"/>
      <w:r>
        <w:t xml:space="preserve"> </w:t>
      </w:r>
    </w:p>
    <w:p w14:paraId="61821880" w14:textId="77777777" w:rsidR="00AB0621" w:rsidRDefault="00E9069F">
      <w:pPr>
        <w:pStyle w:val="Bullet1"/>
      </w:pPr>
      <w:r>
        <w:t xml:space="preserve">new information on the hazards for the chemical becomes </w:t>
      </w:r>
      <w:proofErr w:type="gramStart"/>
      <w:r>
        <w:t>available;</w:t>
      </w:r>
      <w:proofErr w:type="gramEnd"/>
      <w:r>
        <w:t xml:space="preserve"> </w:t>
      </w:r>
    </w:p>
    <w:p w14:paraId="61821881" w14:textId="77777777" w:rsidR="00AB0621" w:rsidRDefault="00E9069F">
      <w:pPr>
        <w:pStyle w:val="Bullet1"/>
      </w:pPr>
      <w:r>
        <w:t xml:space="preserve">monitoring (environmental or health surveillance) indicates that controls are not </w:t>
      </w:r>
      <w:proofErr w:type="gramStart"/>
      <w:r>
        <w:t>adequate;</w:t>
      </w:r>
      <w:proofErr w:type="gramEnd"/>
      <w:r>
        <w:t xml:space="preserve"> </w:t>
      </w:r>
    </w:p>
    <w:p w14:paraId="61821882" w14:textId="77777777" w:rsidR="00AB0621" w:rsidRDefault="00E9069F">
      <w:pPr>
        <w:pStyle w:val="Bullet1"/>
      </w:pPr>
      <w:r>
        <w:t xml:space="preserve">accidents and near misses </w:t>
      </w:r>
      <w:proofErr w:type="gramStart"/>
      <w:r>
        <w:t>occur;</w:t>
      </w:r>
      <w:proofErr w:type="gramEnd"/>
      <w:r>
        <w:t xml:space="preserve"> </w:t>
      </w:r>
    </w:p>
    <w:p w14:paraId="61821883" w14:textId="77777777" w:rsidR="00AB0621" w:rsidRDefault="00E9069F">
      <w:pPr>
        <w:pStyle w:val="Bullet1"/>
      </w:pPr>
      <w:r>
        <w:t xml:space="preserve">chemicals are moved to a new location; and </w:t>
      </w:r>
    </w:p>
    <w:p w14:paraId="61821885" w14:textId="786CA559" w:rsidR="00EF1BEC" w:rsidRDefault="00E9069F" w:rsidP="003A782C">
      <w:pPr>
        <w:pStyle w:val="Bullet1"/>
      </w:pPr>
      <w:r>
        <w:t xml:space="preserve">improved control measures become available. </w:t>
      </w:r>
    </w:p>
    <w:p w14:paraId="61821886" w14:textId="77777777" w:rsidR="009B108F" w:rsidRDefault="00E9069F" w:rsidP="003A782C">
      <w:pPr>
        <w:pStyle w:val="Heading2"/>
      </w:pPr>
      <w:bookmarkStart w:id="61" w:name="_Toc19005511"/>
      <w:bookmarkStart w:id="62" w:name="_Toc101438960"/>
      <w:r w:rsidRPr="009B108F">
        <w:t>7.4   Health and Hygiene Management Plan</w:t>
      </w:r>
      <w:bookmarkEnd w:id="61"/>
      <w:bookmarkEnd w:id="62"/>
    </w:p>
    <w:p w14:paraId="61821889" w14:textId="77777777" w:rsidR="00FF0EFE" w:rsidRDefault="00E9069F" w:rsidP="00FF0EFE">
      <w:r>
        <w:t xml:space="preserve">The </w:t>
      </w:r>
      <w:hyperlink r:id="rId37" w:history="1">
        <w:r w:rsidR="00820192" w:rsidRPr="006C78C4">
          <w:rPr>
            <w:rStyle w:val="Hyperlink"/>
          </w:rPr>
          <w:t>Health and Hygiene Management Plan</w:t>
        </w:r>
      </w:hyperlink>
      <w:r w:rsidR="00820192">
        <w:t xml:space="preserve"> </w:t>
      </w:r>
      <w:r>
        <w:t xml:space="preserve">outlines the process for identifying, assessing, controlling and communicating health risks associated with potential exposure to chemical, physical, biological and ergonomic hazards, in order to prevent occupational illness and disease. </w:t>
      </w:r>
    </w:p>
    <w:p w14:paraId="61821891" w14:textId="77777777" w:rsidR="00EF1BEC" w:rsidRPr="000D6695" w:rsidRDefault="00E9069F" w:rsidP="005E44A4">
      <w:pPr>
        <w:pStyle w:val="Heading2"/>
      </w:pPr>
      <w:bookmarkStart w:id="63" w:name="_Toc19005512"/>
      <w:bookmarkStart w:id="64" w:name="_Toc101438961"/>
      <w:r>
        <w:t xml:space="preserve">7.5 </w:t>
      </w:r>
      <w:r w:rsidR="00D92E5E">
        <w:t xml:space="preserve">  </w:t>
      </w:r>
      <w:r w:rsidR="001B3F70">
        <w:t>H</w:t>
      </w:r>
      <w:r w:rsidRPr="000D6695">
        <w:t>ealth Surveillance</w:t>
      </w:r>
      <w:bookmarkEnd w:id="63"/>
      <w:bookmarkEnd w:id="64"/>
    </w:p>
    <w:p w14:paraId="61821892" w14:textId="77777777" w:rsidR="00FF0EFE" w:rsidRDefault="00E9069F" w:rsidP="00FF0EFE">
      <w:r>
        <w:t xml:space="preserve">Health surveillance is required for workers who are exposed to noise or vibration, ionising radiation, solvents, fumes, dusts and other chemicals or substances hazardous to health. Health surveillance will be managed in accordance with the </w:t>
      </w:r>
      <w:hyperlink r:id="rId38" w:history="1">
        <w:r w:rsidRPr="00CB2E9E">
          <w:rPr>
            <w:rStyle w:val="Hyperlink"/>
          </w:rPr>
          <w:t>Health Surveillance Guideline</w:t>
        </w:r>
      </w:hyperlink>
      <w:r>
        <w:t>.</w:t>
      </w:r>
    </w:p>
    <w:p w14:paraId="6182189C" w14:textId="77777777" w:rsidR="00B832A4" w:rsidRDefault="00E9069F" w:rsidP="005E44A4">
      <w:pPr>
        <w:pStyle w:val="Heading2"/>
      </w:pPr>
      <w:bookmarkStart w:id="65" w:name="_Toc19005513"/>
      <w:bookmarkStart w:id="66" w:name="_Toc101438962"/>
      <w:r>
        <w:t xml:space="preserve">7.6 </w:t>
      </w:r>
      <w:r w:rsidR="00D92E5E">
        <w:t xml:space="preserve">  </w:t>
      </w:r>
      <w:r>
        <w:t>Fieldwork</w:t>
      </w:r>
      <w:bookmarkEnd w:id="65"/>
      <w:bookmarkEnd w:id="66"/>
    </w:p>
    <w:p w14:paraId="6182189D" w14:textId="2DCBB90C" w:rsidR="002D73C1" w:rsidRDefault="00E9069F" w:rsidP="002D73C1">
      <w:pPr>
        <w:rPr>
          <w:rFonts w:ascii="Calibri" w:hAnsi="Calibri"/>
        </w:rPr>
      </w:pPr>
      <w:r>
        <w:t xml:space="preserve">Fieldwork is any approved practical work, teaching, study or research activity, usually conducted outside the normal place of </w:t>
      </w:r>
      <w:proofErr w:type="gramStart"/>
      <w:r>
        <w:t>University</w:t>
      </w:r>
      <w:proofErr w:type="gramEnd"/>
      <w:r>
        <w:t xml:space="preserve"> business. Information about the forms required for fieldwork can be found at </w:t>
      </w:r>
      <w:hyperlink r:id="rId39" w:history="1">
        <w:r>
          <w:rPr>
            <w:rStyle w:val="Hyperlink"/>
          </w:rPr>
          <w:t>the Work Integrated Learning website</w:t>
        </w:r>
      </w:hyperlink>
      <w:r>
        <w:t xml:space="preserve">. Where chemicals are required to be used during fieldwork, a risk assessment should be </w:t>
      </w:r>
      <w:proofErr w:type="gramStart"/>
      <w:r>
        <w:t>undertaken</w:t>
      </w:r>
      <w:proofErr w:type="gramEnd"/>
      <w:r>
        <w:t xml:space="preserve"> and appropriate controls put be in place before handling them.  Please also refer to section 11.3 regarding the transport of chemicals in fieldwork.</w:t>
      </w:r>
    </w:p>
    <w:p w14:paraId="6182189F" w14:textId="40F87D8E" w:rsidR="003E319D" w:rsidRDefault="00E9069F" w:rsidP="003A782C">
      <w:pPr>
        <w:pStyle w:val="Heading1"/>
        <w:numPr>
          <w:ilvl w:val="0"/>
          <w:numId w:val="0"/>
        </w:numPr>
        <w:tabs>
          <w:tab w:val="clear" w:pos="851"/>
          <w:tab w:val="left" w:pos="426"/>
        </w:tabs>
      </w:pPr>
      <w:r w:rsidRPr="00F94DB1">
        <w:rPr>
          <w:lang w:eastAsia="en-US"/>
        </w:rPr>
        <w:t xml:space="preserve"> </w:t>
      </w:r>
      <w:bookmarkStart w:id="67" w:name="_Toc19005514"/>
      <w:bookmarkStart w:id="68" w:name="_Toc101438963"/>
      <w:r>
        <w:t>8.</w:t>
      </w:r>
      <w:r w:rsidR="00C7321A">
        <w:tab/>
      </w:r>
      <w:r>
        <w:t>Purchase</w:t>
      </w:r>
      <w:bookmarkEnd w:id="67"/>
      <w:bookmarkEnd w:id="68"/>
    </w:p>
    <w:p w14:paraId="618218A0" w14:textId="77777777" w:rsidR="003E319D" w:rsidRDefault="00E9069F" w:rsidP="005E44A4">
      <w:pPr>
        <w:pStyle w:val="Heading2"/>
      </w:pPr>
      <w:bookmarkStart w:id="69" w:name="_Toc19005515"/>
      <w:bookmarkStart w:id="70" w:name="_Toc101438964"/>
      <w:r>
        <w:t xml:space="preserve">8.1 </w:t>
      </w:r>
      <w:r w:rsidR="00D92E5E">
        <w:t xml:space="preserve">  </w:t>
      </w:r>
      <w:r>
        <w:t>Chemical Pre-Purchase Checklist</w:t>
      </w:r>
      <w:bookmarkEnd w:id="69"/>
      <w:bookmarkEnd w:id="70"/>
    </w:p>
    <w:p w14:paraId="618218A1" w14:textId="77777777" w:rsidR="003E319D" w:rsidRDefault="00E9069F" w:rsidP="00E27BFA">
      <w:r>
        <w:t xml:space="preserve">It is a Curtin requirement when ordering new chemicals into an area, that a </w:t>
      </w:r>
      <w:hyperlink r:id="rId40" w:history="1">
        <w:r w:rsidRPr="008C01D0">
          <w:rPr>
            <w:rStyle w:val="Hyperlink"/>
          </w:rPr>
          <w:t>Chemical</w:t>
        </w:r>
        <w:r w:rsidR="008C01D0" w:rsidRPr="008C01D0">
          <w:rPr>
            <w:rStyle w:val="Hyperlink"/>
          </w:rPr>
          <w:t xml:space="preserve"> or Gas</w:t>
        </w:r>
        <w:r w:rsidRPr="008C01D0">
          <w:rPr>
            <w:rStyle w:val="Hyperlink"/>
          </w:rPr>
          <w:t xml:space="preserve"> Pre-purchase Checklist</w:t>
        </w:r>
      </w:hyperlink>
      <w:r w:rsidRPr="008C01D0">
        <w:t xml:space="preserve"> is completed.</w:t>
      </w:r>
      <w:r w:rsidR="00E6625F">
        <w:t xml:space="preserve"> W</w:t>
      </w:r>
      <w:r>
        <w:t xml:space="preserve">here the substances </w:t>
      </w:r>
      <w:r w:rsidR="005F2888">
        <w:t>are regulated or controlled, evidence of appropriate purchasing authority</w:t>
      </w:r>
      <w:r w:rsidR="00D626D1">
        <w:t xml:space="preserve"> must</w:t>
      </w:r>
      <w:r>
        <w:t xml:space="preserve"> be </w:t>
      </w:r>
      <w:r w:rsidR="005F2888">
        <w:t>provided</w:t>
      </w:r>
      <w:r w:rsidR="00E6625F">
        <w:t xml:space="preserve"> prior to sign off.</w:t>
      </w:r>
    </w:p>
    <w:p w14:paraId="618218A2" w14:textId="5ADCAC2B" w:rsidR="00DA638E" w:rsidRDefault="00E9069F" w:rsidP="00E27BFA">
      <w:r>
        <w:t>All che</w:t>
      </w:r>
      <w:r w:rsidR="00E02E6E">
        <w:t xml:space="preserve">micals must be purchased from an Australian </w:t>
      </w:r>
      <w:r>
        <w:t>supplier</w:t>
      </w:r>
      <w:r w:rsidR="005D3AD0">
        <w:t xml:space="preserve"> where possible</w:t>
      </w:r>
      <w:r>
        <w:t xml:space="preserve">.  </w:t>
      </w:r>
      <w:r w:rsidR="00FD2694">
        <w:t xml:space="preserve">This ensures that the chemical has come from a supplier </w:t>
      </w:r>
      <w:r w:rsidR="00452CC9">
        <w:t>required</w:t>
      </w:r>
      <w:r w:rsidR="00FD2694">
        <w:t xml:space="preserve"> by Australian</w:t>
      </w:r>
      <w:r w:rsidR="00452CC9">
        <w:t xml:space="preserve"> legislation to provide a </w:t>
      </w:r>
      <w:r w:rsidR="00FD2694">
        <w:t>compliant</w:t>
      </w:r>
      <w:r w:rsidR="00452CC9">
        <w:t xml:space="preserve"> </w:t>
      </w:r>
      <w:r w:rsidR="003023D2">
        <w:t>SDSs</w:t>
      </w:r>
      <w:r w:rsidR="00FD2694">
        <w:t xml:space="preserve"> </w:t>
      </w:r>
      <w:r w:rsidR="00452CC9">
        <w:t>and labelling.</w:t>
      </w:r>
      <w:r w:rsidR="00FD2694">
        <w:t xml:space="preserve"> </w:t>
      </w:r>
      <w:r>
        <w:t xml:space="preserve">Where </w:t>
      </w:r>
      <w:r w:rsidR="007D3802">
        <w:t>this is not possible,</w:t>
      </w:r>
      <w:r w:rsidR="00E02E6E">
        <w:t xml:space="preserve"> chemicals </w:t>
      </w:r>
      <w:r w:rsidR="00452CC9">
        <w:t>purchased</w:t>
      </w:r>
      <w:r w:rsidR="00E02E6E">
        <w:t xml:space="preserve"> from overseas suppliers</w:t>
      </w:r>
      <w:r w:rsidR="00E6625F">
        <w:t xml:space="preserve"> will be considered</w:t>
      </w:r>
      <w:r w:rsidR="00452CC9">
        <w:t>, however</w:t>
      </w:r>
      <w:r w:rsidR="00E02E6E">
        <w:t xml:space="preserve"> </w:t>
      </w:r>
      <w:r w:rsidR="00452CC9">
        <w:t>this incurs significantly greater regulation</w:t>
      </w:r>
      <w:r w:rsidR="00AC3B31">
        <w:t xml:space="preserve">, </w:t>
      </w:r>
      <w:r w:rsidR="00452CC9">
        <w:t>See Section</w:t>
      </w:r>
      <w:r w:rsidR="00AC3B31">
        <w:t xml:space="preserve"> </w:t>
      </w:r>
      <w:r w:rsidR="00F21851">
        <w:t>8</w:t>
      </w:r>
      <w:r w:rsidR="00AC3B31">
        <w:t>.</w:t>
      </w:r>
      <w:r w:rsidR="00E47F62">
        <w:t>2</w:t>
      </w:r>
      <w:r>
        <w:t>.</w:t>
      </w:r>
    </w:p>
    <w:p w14:paraId="618218A3" w14:textId="77777777" w:rsidR="00F63A2B" w:rsidRDefault="00E9069F" w:rsidP="00E27BFA">
      <w:r>
        <w:lastRenderedPageBreak/>
        <w:t xml:space="preserve">Please refer to the </w:t>
      </w:r>
      <w:hyperlink r:id="rId41" w:history="1">
        <w:r w:rsidRPr="008C01D0">
          <w:rPr>
            <w:rStyle w:val="Hyperlink"/>
          </w:rPr>
          <w:t>Pre-purchase Risk Identification Guideline</w:t>
        </w:r>
      </w:hyperlink>
      <w:r>
        <w:t xml:space="preserve"> for important information regarding the purchasing of chemicals.</w:t>
      </w:r>
    </w:p>
    <w:p w14:paraId="618218A4" w14:textId="77777777" w:rsidR="00FD2694" w:rsidRDefault="00E9069F" w:rsidP="005E44A4">
      <w:pPr>
        <w:pStyle w:val="Heading2"/>
      </w:pPr>
      <w:bookmarkStart w:id="71" w:name="_Toc19005516"/>
      <w:bookmarkStart w:id="72" w:name="_Toc101438965"/>
      <w:r>
        <w:t>8.2</w:t>
      </w:r>
      <w:r w:rsidR="00D92E5E">
        <w:t xml:space="preserve">   </w:t>
      </w:r>
      <w:r w:rsidR="001B3F70">
        <w:t>P</w:t>
      </w:r>
      <w:r>
        <w:t>urchasing Chemicals from Overseas Suppliers</w:t>
      </w:r>
      <w:bookmarkEnd w:id="71"/>
      <w:bookmarkEnd w:id="72"/>
    </w:p>
    <w:p w14:paraId="618218A5" w14:textId="48486ADC" w:rsidR="00DA638E" w:rsidRDefault="00E9069F" w:rsidP="00DA638E">
      <w:r>
        <w:t>When a chemical is purchased directly from an overseas supplier, the purchaser is then considered to be the importer or supplier of that chemical</w:t>
      </w:r>
      <w:r w:rsidR="005D3AD0">
        <w:t>. Under</w:t>
      </w:r>
      <w:r>
        <w:t xml:space="preserve"> Australian Occupational</w:t>
      </w:r>
      <w:r w:rsidR="005D3AD0">
        <w:t xml:space="preserve"> Health and Safety legislation, t</w:t>
      </w:r>
      <w:r>
        <w:t xml:space="preserve">his means the purchaser </w:t>
      </w:r>
      <w:r w:rsidR="00F21851">
        <w:t xml:space="preserve">will </w:t>
      </w:r>
      <w:r>
        <w:t>be required to meet the legislative responsibilities of a</w:t>
      </w:r>
      <w:r w:rsidR="005D3AD0">
        <w:t>n importer</w:t>
      </w:r>
      <w:r>
        <w:t xml:space="preserve"> </w:t>
      </w:r>
      <w:r w:rsidR="00F21851">
        <w:t xml:space="preserve">and </w:t>
      </w:r>
      <w:r>
        <w:t>supplier</w:t>
      </w:r>
      <w:r w:rsidR="00607B72">
        <w:t>.</w:t>
      </w:r>
      <w:r>
        <w:t xml:space="preserve"> </w:t>
      </w:r>
      <w:r w:rsidR="00607B72">
        <w:t>This</w:t>
      </w:r>
      <w:r>
        <w:t xml:space="preserve"> includes ensuring that the labelling of the chemical is compliant to Australian Legislation and the production of an Australian Compliant Safety Data Sheet</w:t>
      </w:r>
      <w:r w:rsidR="007A0D6D">
        <w:t>. Contact Health and Safety for further information.</w:t>
      </w:r>
      <w:r w:rsidR="00607B72">
        <w:t xml:space="preserve"> </w:t>
      </w:r>
    </w:p>
    <w:p w14:paraId="618218A6" w14:textId="77777777" w:rsidR="000D6695" w:rsidRDefault="00E9069F" w:rsidP="00DA638E">
      <w:r>
        <w:t>Dependant on the chemical being purchased, there may also be additional legislative restrictions and/or requirements that apply to the importation of that substance. Importation controls or restrictions may apply under the following legislation. This is not an exhaustive list.</w:t>
      </w:r>
    </w:p>
    <w:p w14:paraId="618218A7" w14:textId="77777777" w:rsidR="005D3AD0" w:rsidRPr="00F5474C" w:rsidRDefault="00E9069F">
      <w:pPr>
        <w:pStyle w:val="Bullet1"/>
      </w:pPr>
      <w:r>
        <w:t xml:space="preserve">Customs Act 1901 &amp; </w:t>
      </w:r>
      <w:r w:rsidRPr="00606161">
        <w:t>Customs (Prohibited Imports) Regulations</w:t>
      </w:r>
      <w:r w:rsidR="00606161" w:rsidRPr="00606161">
        <w:t xml:space="preserve"> 1956 &amp; Narcotic Drug Act 1967</w:t>
      </w:r>
      <w:r w:rsidR="00606161">
        <w:t xml:space="preserve"> </w:t>
      </w:r>
      <w:r w:rsidRPr="00F5474C">
        <w:t>(</w:t>
      </w:r>
      <w:r w:rsidRPr="00F21851">
        <w:t>For example controls apply to the import of narcotic drugs, psychotropic substances, precursors chemicals and antibiotics</w:t>
      </w:r>
      <w:r w:rsidR="00606161" w:rsidRPr="00F21851">
        <w:t xml:space="preserve"> androgenic/anabolic substances</w:t>
      </w:r>
      <w:r w:rsidR="00606161" w:rsidRPr="00F5474C">
        <w:t>)</w:t>
      </w:r>
    </w:p>
    <w:p w14:paraId="618218A8" w14:textId="77777777" w:rsidR="000E3562" w:rsidRDefault="00E9069F">
      <w:pPr>
        <w:pStyle w:val="Bullet1"/>
      </w:pPr>
      <w:r>
        <w:t>Chemical Weapons (Prohibition) Act 1994 &amp; Regulations 1997</w:t>
      </w:r>
    </w:p>
    <w:p w14:paraId="618218A9" w14:textId="77777777" w:rsidR="000E3562" w:rsidRDefault="00E9069F">
      <w:pPr>
        <w:pStyle w:val="Bullet1"/>
      </w:pPr>
      <w:r>
        <w:t>Industrial Chemical (Notification and Assessment) Act 1989</w:t>
      </w:r>
    </w:p>
    <w:p w14:paraId="618218AA" w14:textId="77777777" w:rsidR="000E3562" w:rsidRDefault="00E9069F">
      <w:pPr>
        <w:pStyle w:val="Bullet1"/>
      </w:pPr>
      <w:r>
        <w:t>Agricultural and Veterinary Chemicals Code Act 1995 &amp; Regulations 1995</w:t>
      </w:r>
    </w:p>
    <w:p w14:paraId="618218AB" w14:textId="77777777" w:rsidR="000E3562" w:rsidRPr="000E3562" w:rsidRDefault="00E9069F" w:rsidP="000E3562">
      <w:r>
        <w:t>Research and educational institutions</w:t>
      </w:r>
      <w:r w:rsidR="00E50582">
        <w:t xml:space="preserve"> are often subjected to lighter import restrictions due to the nature of the intended use of imported chemicals. Import restrictions should be investigated and confirmed on a </w:t>
      </w:r>
      <w:proofErr w:type="gramStart"/>
      <w:r w:rsidR="00E50582">
        <w:t>case by case</w:t>
      </w:r>
      <w:proofErr w:type="gramEnd"/>
      <w:r w:rsidR="00E50582">
        <w:t xml:space="preserve"> basis.</w:t>
      </w:r>
    </w:p>
    <w:p w14:paraId="618218AC" w14:textId="77777777" w:rsidR="003E319D" w:rsidRDefault="00E9069F" w:rsidP="005E44A4">
      <w:pPr>
        <w:pStyle w:val="Heading2"/>
      </w:pPr>
      <w:bookmarkStart w:id="73" w:name="_Toc19005517"/>
      <w:bookmarkStart w:id="74" w:name="_Toc101438966"/>
      <w:r>
        <w:t>8.3</w:t>
      </w:r>
      <w:r w:rsidR="00D92E5E">
        <w:t xml:space="preserve">  </w:t>
      </w:r>
      <w:r>
        <w:t xml:space="preserve"> Personal Acquisition or Supply</w:t>
      </w:r>
      <w:bookmarkEnd w:id="73"/>
      <w:bookmarkEnd w:id="74"/>
      <w:r>
        <w:t xml:space="preserve"> </w:t>
      </w:r>
    </w:p>
    <w:p w14:paraId="618218AD" w14:textId="1D384F45" w:rsidR="003E319D" w:rsidRDefault="00E9069F" w:rsidP="00250A7E">
      <w:pPr>
        <w:pStyle w:val="Heading3"/>
        <w:ind w:left="851" w:hanging="851"/>
      </w:pPr>
      <w:bookmarkStart w:id="75" w:name="_Toc19005518"/>
      <w:r>
        <w:t xml:space="preserve">8.3.1 </w:t>
      </w:r>
      <w:r w:rsidR="00D92E5E">
        <w:t xml:space="preserve">  </w:t>
      </w:r>
      <w:r>
        <w:t>Chemical Donations</w:t>
      </w:r>
      <w:bookmarkEnd w:id="75"/>
    </w:p>
    <w:p w14:paraId="618218AE" w14:textId="263BB205" w:rsidR="003E319D" w:rsidRDefault="00E9069F" w:rsidP="00E27BFA">
      <w:proofErr w:type="gramStart"/>
      <w:r>
        <w:t>As a general rule</w:t>
      </w:r>
      <w:proofErr w:type="gramEnd"/>
      <w:r>
        <w:t xml:space="preserve"> Curtin wil</w:t>
      </w:r>
      <w:r w:rsidR="00CE1D2E">
        <w:t>l not accept chemical donations as most often their provenance</w:t>
      </w:r>
      <w:r w:rsidR="00327A38">
        <w:t>,</w:t>
      </w:r>
      <w:r w:rsidR="00CE1D2E">
        <w:t xml:space="preserve"> age and stability are difficult to verify. E</w:t>
      </w:r>
      <w:r>
        <w:t>xceptions can be made</w:t>
      </w:r>
      <w:r w:rsidR="00CE1D2E">
        <w:t xml:space="preserve"> with the approval of a </w:t>
      </w:r>
      <w:r w:rsidR="00FD2694">
        <w:t>manager/supervisor</w:t>
      </w:r>
      <w:r>
        <w:t xml:space="preserve">, </w:t>
      </w:r>
      <w:r w:rsidR="00CE1D2E">
        <w:t>where sufficient</w:t>
      </w:r>
      <w:r>
        <w:t xml:space="preserve"> justification </w:t>
      </w:r>
      <w:r w:rsidR="00CE1D2E">
        <w:t>is</w:t>
      </w:r>
      <w:r>
        <w:t xml:space="preserve"> made as to why Curtin is to accept the chemical. </w:t>
      </w:r>
      <w:r w:rsidR="00CE1D2E">
        <w:t>This must include a risk assessment inco</w:t>
      </w:r>
      <w:r w:rsidR="00907B03">
        <w:t xml:space="preserve">rporating the life cycle </w:t>
      </w:r>
      <w:r w:rsidR="00CE1D2E">
        <w:t xml:space="preserve">of the chemical and cost of disposal. </w:t>
      </w:r>
    </w:p>
    <w:p w14:paraId="618218AF" w14:textId="5378165D" w:rsidR="00FD2694" w:rsidRDefault="00E9069F" w:rsidP="00250A7E">
      <w:pPr>
        <w:pStyle w:val="Heading3"/>
        <w:ind w:left="851" w:hanging="851"/>
      </w:pPr>
      <w:bookmarkStart w:id="76" w:name="_Toc19005519"/>
      <w:r>
        <w:t>8.3.</w:t>
      </w:r>
      <w:r w:rsidR="009B108F">
        <w:t xml:space="preserve">2   </w:t>
      </w:r>
      <w:r>
        <w:t>Samples</w:t>
      </w:r>
      <w:bookmarkEnd w:id="76"/>
    </w:p>
    <w:p w14:paraId="618218B0" w14:textId="5C0B3E2A" w:rsidR="00FD2694" w:rsidRDefault="00E9069F" w:rsidP="00FD2694">
      <w:r>
        <w:t>When Curtin receives samples for research and or analytical purposes, planning and risk assessment must be in place prior to receiving the samples. A sample management plan should be generated detailing what is being accepted. This should include a risk assessment incorporating the life cycle of the sample.</w:t>
      </w:r>
    </w:p>
    <w:p w14:paraId="618218B1" w14:textId="365CC001" w:rsidR="00FD2694" w:rsidRDefault="00E9069F" w:rsidP="00FD2694">
      <w:r>
        <w:t>Specific attention must be made to the disposal requirements of the samples. This must be agreed with a client. All disposal costs should be defined with a client as part of the research contract</w:t>
      </w:r>
      <w:r w:rsidRPr="000B6AEF">
        <w:t xml:space="preserve"> </w:t>
      </w:r>
      <w:r>
        <w:t xml:space="preserve">before accepting the samples into the </w:t>
      </w:r>
      <w:r w:rsidR="00327A38">
        <w:t>U</w:t>
      </w:r>
      <w:r>
        <w:t>niversity.</w:t>
      </w:r>
    </w:p>
    <w:p w14:paraId="618218B2" w14:textId="424CBFFF" w:rsidR="003E319D" w:rsidRDefault="00E9069F" w:rsidP="003A782C">
      <w:pPr>
        <w:pStyle w:val="Heading1"/>
        <w:numPr>
          <w:ilvl w:val="0"/>
          <w:numId w:val="0"/>
        </w:numPr>
        <w:tabs>
          <w:tab w:val="clear" w:pos="851"/>
          <w:tab w:val="left" w:pos="426"/>
        </w:tabs>
      </w:pPr>
      <w:bookmarkStart w:id="77" w:name="_Toc19005520"/>
      <w:bookmarkStart w:id="78" w:name="_Toc101438967"/>
      <w:r>
        <w:t>9.</w:t>
      </w:r>
      <w:r w:rsidR="009B108F">
        <w:tab/>
      </w:r>
      <w:r>
        <w:t>Labelling</w:t>
      </w:r>
      <w:bookmarkEnd w:id="77"/>
      <w:bookmarkEnd w:id="78"/>
    </w:p>
    <w:p w14:paraId="618218B3" w14:textId="77777777" w:rsidR="003E319D" w:rsidRDefault="00E9069F" w:rsidP="005E44A4">
      <w:pPr>
        <w:pStyle w:val="Heading2"/>
      </w:pPr>
      <w:bookmarkStart w:id="79" w:name="_Toc19005521"/>
      <w:bookmarkStart w:id="80" w:name="_Toc101438968"/>
      <w:r>
        <w:t xml:space="preserve">9.1 </w:t>
      </w:r>
      <w:r w:rsidR="00D92E5E">
        <w:t xml:space="preserve">  </w:t>
      </w:r>
      <w:r>
        <w:t xml:space="preserve">Labelling </w:t>
      </w:r>
      <w:r w:rsidR="001F4C55">
        <w:t>systems</w:t>
      </w:r>
      <w:bookmarkEnd w:id="79"/>
      <w:bookmarkEnd w:id="80"/>
    </w:p>
    <w:p w14:paraId="618218B4" w14:textId="11539087" w:rsidR="003E319D" w:rsidRDefault="00E9069F" w:rsidP="00E27BFA">
      <w:r>
        <w:t xml:space="preserve">The purpose of labelling is to ensure that the contents of a container can be readily identified by product name and to provide basic information about the contents of the container – its ingredient(s), </w:t>
      </w:r>
      <w:proofErr w:type="gramStart"/>
      <w:r>
        <w:t>hazards</w:t>
      </w:r>
      <w:proofErr w:type="gramEnd"/>
      <w:r>
        <w:t xml:space="preserve"> and precautions for safe use. </w:t>
      </w:r>
    </w:p>
    <w:p w14:paraId="618218B5" w14:textId="604B2D31" w:rsidR="001643AC" w:rsidRDefault="00E9069F" w:rsidP="001643AC">
      <w:r>
        <w:lastRenderedPageBreak/>
        <w:t xml:space="preserve">Labelling of containers must adhere to </w:t>
      </w:r>
      <w:r w:rsidR="00853BA4">
        <w:t xml:space="preserve">Globally Harmonized System of Classification and Labelling of Chemicals 3rd revised edition (GHS). </w:t>
      </w:r>
      <w:r w:rsidRPr="001643AC">
        <w:rPr>
          <w:rFonts w:eastAsiaTheme="minorEastAsia"/>
          <w:lang w:eastAsia="en-US"/>
        </w:rPr>
        <w:t xml:space="preserve">Whilst the new WHS regulation have not formally been accepted by Western Australia, </w:t>
      </w:r>
      <w:r>
        <w:rPr>
          <w:rFonts w:eastAsiaTheme="minorEastAsia"/>
          <w:lang w:eastAsia="en-US"/>
        </w:rPr>
        <w:t>the GHS has been formally adopted into the existing Occupational Health and Safety Legislation. T</w:t>
      </w:r>
      <w:r w:rsidRPr="001643AC">
        <w:rPr>
          <w:rFonts w:eastAsiaTheme="minorEastAsia"/>
          <w:lang w:eastAsia="en-US"/>
        </w:rPr>
        <w:t xml:space="preserve">he use of the GHS </w:t>
      </w:r>
      <w:r w:rsidR="00327A38">
        <w:rPr>
          <w:rFonts w:eastAsiaTheme="minorEastAsia"/>
          <w:lang w:eastAsia="en-US"/>
        </w:rPr>
        <w:t xml:space="preserve">has </w:t>
      </w:r>
      <w:r w:rsidRPr="001643AC">
        <w:rPr>
          <w:rFonts w:eastAsiaTheme="minorEastAsia"/>
          <w:lang w:eastAsia="en-US"/>
        </w:rPr>
        <w:t>be</w:t>
      </w:r>
      <w:r w:rsidR="00327A38">
        <w:rPr>
          <w:rFonts w:eastAsiaTheme="minorEastAsia"/>
          <w:lang w:eastAsia="en-US"/>
        </w:rPr>
        <w:t>en</w:t>
      </w:r>
      <w:r w:rsidRPr="001643AC">
        <w:rPr>
          <w:rFonts w:eastAsiaTheme="minorEastAsia"/>
          <w:lang w:eastAsia="en-US"/>
        </w:rPr>
        <w:t xml:space="preserve"> mandatory for the rest of Australia </w:t>
      </w:r>
      <w:r w:rsidR="00327A38">
        <w:rPr>
          <w:rFonts w:eastAsiaTheme="minorEastAsia"/>
          <w:lang w:eastAsia="en-US"/>
        </w:rPr>
        <w:t xml:space="preserve">since </w:t>
      </w:r>
      <w:r w:rsidRPr="001643AC">
        <w:rPr>
          <w:rFonts w:eastAsiaTheme="minorEastAsia"/>
          <w:lang w:eastAsia="en-US"/>
        </w:rPr>
        <w:t>2016</w:t>
      </w:r>
      <w:r w:rsidR="00E50582">
        <w:rPr>
          <w:rFonts w:eastAsiaTheme="minorEastAsia"/>
          <w:lang w:eastAsia="en-US"/>
        </w:rPr>
        <w:t xml:space="preserve"> </w:t>
      </w:r>
      <w:r>
        <w:rPr>
          <w:rFonts w:eastAsiaTheme="minorEastAsia"/>
          <w:lang w:eastAsia="en-US"/>
        </w:rPr>
        <w:t>under WHS</w:t>
      </w:r>
      <w:r w:rsidRPr="001643AC">
        <w:rPr>
          <w:rFonts w:eastAsiaTheme="minorEastAsia"/>
          <w:lang w:eastAsia="en-US"/>
        </w:rPr>
        <w:t xml:space="preserve">. Any manufacturer working outside of WA will have to comply with this. Curtin </w:t>
      </w:r>
      <w:r w:rsidR="00327A38">
        <w:rPr>
          <w:rFonts w:eastAsiaTheme="minorEastAsia"/>
          <w:lang w:eastAsia="en-US"/>
        </w:rPr>
        <w:t xml:space="preserve">has </w:t>
      </w:r>
      <w:r w:rsidRPr="001643AC">
        <w:rPr>
          <w:rFonts w:eastAsiaTheme="minorEastAsia"/>
          <w:lang w:eastAsia="en-US"/>
        </w:rPr>
        <w:t>adopt</w:t>
      </w:r>
      <w:r w:rsidR="00327A38">
        <w:rPr>
          <w:rFonts w:eastAsiaTheme="minorEastAsia"/>
          <w:lang w:eastAsia="en-US"/>
        </w:rPr>
        <w:t>ed</w:t>
      </w:r>
      <w:r w:rsidRPr="001643AC">
        <w:rPr>
          <w:rFonts w:eastAsiaTheme="minorEastAsia"/>
          <w:lang w:eastAsia="en-US"/>
        </w:rPr>
        <w:t xml:space="preserve"> the GHS system in line with the r</w:t>
      </w:r>
      <w:r w:rsidR="00854827">
        <w:rPr>
          <w:rFonts w:eastAsiaTheme="minorEastAsia"/>
          <w:lang w:eastAsia="en-US"/>
        </w:rPr>
        <w:t xml:space="preserve">est of Australia and </w:t>
      </w:r>
      <w:r w:rsidR="00327A38">
        <w:rPr>
          <w:rFonts w:eastAsiaTheme="minorEastAsia"/>
          <w:lang w:eastAsia="en-US"/>
        </w:rPr>
        <w:t xml:space="preserve">in </w:t>
      </w:r>
      <w:r w:rsidR="00854827">
        <w:rPr>
          <w:rFonts w:eastAsiaTheme="minorEastAsia"/>
          <w:lang w:eastAsia="en-US"/>
        </w:rPr>
        <w:t xml:space="preserve">the </w:t>
      </w:r>
      <w:proofErr w:type="gramStart"/>
      <w:r w:rsidR="00854827">
        <w:rPr>
          <w:rFonts w:eastAsiaTheme="minorEastAsia"/>
          <w:lang w:eastAsia="en-US"/>
        </w:rPr>
        <w:t>likeli</w:t>
      </w:r>
      <w:r w:rsidRPr="001643AC">
        <w:rPr>
          <w:rFonts w:eastAsiaTheme="minorEastAsia"/>
          <w:lang w:eastAsia="en-US"/>
        </w:rPr>
        <w:t>hood</w:t>
      </w:r>
      <w:proofErr w:type="gramEnd"/>
      <w:r w:rsidRPr="001643AC">
        <w:rPr>
          <w:rFonts w:eastAsiaTheme="minorEastAsia"/>
          <w:lang w:eastAsia="en-US"/>
        </w:rPr>
        <w:t xml:space="preserve"> WA will adopt the new WHS regulation in the near future.  </w:t>
      </w:r>
      <w:r>
        <w:t>Chemicals label</w:t>
      </w:r>
      <w:r w:rsidR="00327A38">
        <w:t>s</w:t>
      </w:r>
      <w:r>
        <w:t xml:space="preserve"> </w:t>
      </w:r>
      <w:r w:rsidR="00327A38">
        <w:t xml:space="preserve">compliant with </w:t>
      </w:r>
      <w:r>
        <w:t xml:space="preserve">The </w:t>
      </w:r>
      <w:hyperlink r:id="rId42" w:history="1">
        <w:r w:rsidRPr="0033138E">
          <w:rPr>
            <w:rStyle w:val="Hyperlink"/>
          </w:rPr>
          <w:t>National Health and Safety Council’s, National Code of Practice for the Labelling of Workplace Substances. NOHSC: 2012 (1994)</w:t>
        </w:r>
      </w:hyperlink>
      <w:r>
        <w:t xml:space="preserve"> </w:t>
      </w:r>
      <w:r w:rsidR="00327A38">
        <w:t>have been phased out</w:t>
      </w:r>
      <w:r w:rsidR="00A3155C">
        <w:t xml:space="preserve"> and</w:t>
      </w:r>
      <w:r w:rsidR="00327A38">
        <w:t xml:space="preserve"> any remaining labels must be updated to GHS</w:t>
      </w:r>
      <w:r w:rsidR="0033138E">
        <w:t>.</w:t>
      </w:r>
    </w:p>
    <w:p w14:paraId="618218B6" w14:textId="77777777" w:rsidR="00FA2804" w:rsidRDefault="00E9069F" w:rsidP="005E44A4">
      <w:pPr>
        <w:pStyle w:val="Heading2"/>
      </w:pPr>
      <w:bookmarkStart w:id="81" w:name="_Toc19005522"/>
      <w:bookmarkStart w:id="82" w:name="_Toc101438969"/>
      <w:r>
        <w:t xml:space="preserve">9.2 </w:t>
      </w:r>
      <w:r w:rsidR="00D92E5E">
        <w:t xml:space="preserve">  </w:t>
      </w:r>
      <w:r>
        <w:t>GHS</w:t>
      </w:r>
      <w:bookmarkEnd w:id="81"/>
      <w:bookmarkEnd w:id="82"/>
    </w:p>
    <w:p w14:paraId="618218B7" w14:textId="77777777" w:rsidR="001F4C55" w:rsidRPr="009D3919" w:rsidRDefault="00E9069F" w:rsidP="001F4C55">
      <w:pPr>
        <w:pStyle w:val="Text"/>
      </w:pPr>
      <w:r w:rsidRPr="009D3919">
        <w:t xml:space="preserve">The </w:t>
      </w:r>
      <w:r w:rsidRPr="009D3919">
        <w:rPr>
          <w:i/>
          <w:iCs/>
        </w:rPr>
        <w:t>Globally Harmonized System of Classification and Labelling of Chemicals</w:t>
      </w:r>
      <w:r w:rsidRPr="009D3919">
        <w:t xml:space="preserve"> (GHS) is a single internationally agreed system of chemical </w:t>
      </w:r>
      <w:hyperlink r:id="rId43" w:anchor="overview" w:history="1">
        <w:r w:rsidRPr="009D3919">
          <w:rPr>
            <w:rStyle w:val="Hyperlink"/>
            <w:rFonts w:eastAsia="Arial"/>
          </w:rPr>
          <w:t>classification and hazard communication through labelling</w:t>
        </w:r>
      </w:hyperlink>
      <w:r w:rsidRPr="009D3919">
        <w:t xml:space="preserve"> and </w:t>
      </w:r>
      <w:hyperlink r:id="rId44" w:history="1">
        <w:r w:rsidRPr="009D3919">
          <w:rPr>
            <w:rStyle w:val="Hyperlink"/>
            <w:rFonts w:eastAsia="Arial"/>
          </w:rPr>
          <w:t>Safety Data Sheets</w:t>
        </w:r>
      </w:hyperlink>
      <w:r w:rsidRPr="009D3919">
        <w:t xml:space="preserve"> (SDS). The GHS is published by the United Nations and is sometimes referred to as ‘the purple book’. It includes harmonised criteria for the classification of:</w:t>
      </w:r>
    </w:p>
    <w:p w14:paraId="618218B8" w14:textId="77777777" w:rsidR="001F4C55" w:rsidRPr="009D3919" w:rsidRDefault="00E9069F" w:rsidP="00F5474C">
      <w:pPr>
        <w:pStyle w:val="Bullet1"/>
      </w:pPr>
      <w:r w:rsidRPr="009D3919">
        <w:t xml:space="preserve">physical hazards, </w:t>
      </w:r>
    </w:p>
    <w:p w14:paraId="618218B9" w14:textId="77777777" w:rsidR="001F4C55" w:rsidRPr="009D3919" w:rsidRDefault="00E9069F" w:rsidP="00F5474C">
      <w:pPr>
        <w:pStyle w:val="Bullet1"/>
      </w:pPr>
      <w:r w:rsidRPr="009D3919">
        <w:t xml:space="preserve">health hazards, and </w:t>
      </w:r>
    </w:p>
    <w:p w14:paraId="618218BA" w14:textId="77777777" w:rsidR="001F4C55" w:rsidRPr="009D3919" w:rsidRDefault="00E9069F" w:rsidP="00F5474C">
      <w:pPr>
        <w:pStyle w:val="Bullet1"/>
      </w:pPr>
      <w:r w:rsidRPr="009D3919">
        <w:t>environmental hazards.</w:t>
      </w:r>
    </w:p>
    <w:p w14:paraId="618218BD" w14:textId="77777777" w:rsidR="001F4C55" w:rsidRDefault="00E9069F" w:rsidP="005E44A4">
      <w:pPr>
        <w:pStyle w:val="Heading2"/>
      </w:pPr>
      <w:bookmarkStart w:id="83" w:name="_Toc444609011"/>
      <w:bookmarkStart w:id="84" w:name="_Toc444609012"/>
      <w:bookmarkStart w:id="85" w:name="_Toc19005523"/>
      <w:bookmarkStart w:id="86" w:name="_Toc101438970"/>
      <w:bookmarkEnd w:id="83"/>
      <w:bookmarkEnd w:id="84"/>
      <w:r>
        <w:t xml:space="preserve">9.3 </w:t>
      </w:r>
      <w:r w:rsidR="00D92E5E">
        <w:t xml:space="preserve">  </w:t>
      </w:r>
      <w:r>
        <w:t>Labelling responsibilities</w:t>
      </w:r>
      <w:bookmarkEnd w:id="85"/>
      <w:bookmarkEnd w:id="86"/>
    </w:p>
    <w:p w14:paraId="618218BE" w14:textId="77777777" w:rsidR="005723A4" w:rsidRDefault="00E9069F" w:rsidP="005723A4">
      <w:pPr>
        <w:tabs>
          <w:tab w:val="left" w:pos="992"/>
        </w:tabs>
        <w:spacing w:after="120"/>
        <w:ind w:left="992" w:hanging="992"/>
        <w:rPr>
          <w:rFonts w:eastAsia="Calibri" w:cs="Calibri"/>
          <w:b/>
          <w:bCs/>
          <w:sz w:val="18"/>
          <w:szCs w:val="18"/>
          <w:lang w:val="en-US" w:eastAsia="en-US"/>
        </w:rPr>
      </w:pPr>
      <w:bookmarkStart w:id="87" w:name="_Toc424737837"/>
      <w:bookmarkStart w:id="88" w:name="_Toc18574527"/>
      <w:bookmarkStart w:id="89" w:name="_Toc99619989"/>
      <w:r w:rsidRPr="005723A4">
        <w:rPr>
          <w:rFonts w:eastAsia="Calibri" w:cs="Calibri"/>
          <w:b/>
          <w:bCs/>
          <w:sz w:val="18"/>
          <w:szCs w:val="18"/>
          <w:lang w:val="en-US" w:eastAsia="en-US"/>
        </w:rPr>
        <w:t>Table </w:t>
      </w:r>
      <w:r w:rsidRPr="005723A4">
        <w:rPr>
          <w:rFonts w:eastAsia="Calibri" w:cs="Calibri"/>
          <w:b/>
          <w:bCs/>
          <w:sz w:val="18"/>
          <w:szCs w:val="18"/>
          <w:lang w:val="en-US" w:eastAsia="en-US"/>
        </w:rPr>
        <w:fldChar w:fldCharType="begin"/>
      </w:r>
      <w:r w:rsidRPr="005723A4">
        <w:rPr>
          <w:rFonts w:eastAsia="Calibri" w:cs="Calibri"/>
          <w:b/>
          <w:bCs/>
          <w:sz w:val="18"/>
          <w:szCs w:val="18"/>
          <w:lang w:val="en-US" w:eastAsia="en-US"/>
        </w:rPr>
        <w:instrText xml:space="preserve"> SEQ Table \* ARABIC </w:instrText>
      </w:r>
      <w:r w:rsidRPr="005723A4">
        <w:rPr>
          <w:rFonts w:eastAsia="Calibri" w:cs="Calibri"/>
          <w:b/>
          <w:bCs/>
          <w:sz w:val="18"/>
          <w:szCs w:val="18"/>
          <w:lang w:val="en-US" w:eastAsia="en-US"/>
        </w:rPr>
        <w:fldChar w:fldCharType="separate"/>
      </w:r>
      <w:r w:rsidR="00BC0589">
        <w:rPr>
          <w:rFonts w:eastAsia="Calibri" w:cs="Calibri"/>
          <w:b/>
          <w:bCs/>
          <w:noProof/>
          <w:sz w:val="18"/>
          <w:szCs w:val="18"/>
          <w:lang w:val="en-US" w:eastAsia="en-US"/>
        </w:rPr>
        <w:t>2</w:t>
      </w:r>
      <w:r w:rsidRPr="005723A4">
        <w:rPr>
          <w:rFonts w:eastAsia="Calibri" w:cs="Calibri"/>
          <w:b/>
          <w:bCs/>
          <w:sz w:val="18"/>
          <w:szCs w:val="18"/>
          <w:lang w:val="en-US" w:eastAsia="en-US"/>
        </w:rPr>
        <w:fldChar w:fldCharType="end"/>
      </w:r>
      <w:r w:rsidR="006852F2">
        <w:rPr>
          <w:rFonts w:eastAsia="Calibri" w:cs="Calibri"/>
          <w:b/>
          <w:bCs/>
          <w:sz w:val="18"/>
          <w:szCs w:val="18"/>
          <w:lang w:val="en-US" w:eastAsia="en-US"/>
        </w:rPr>
        <w:t>:</w:t>
      </w:r>
      <w:r w:rsidR="001B3F70">
        <w:rPr>
          <w:rFonts w:eastAsia="Calibri" w:cs="Calibri"/>
          <w:b/>
          <w:bCs/>
          <w:sz w:val="18"/>
          <w:szCs w:val="18"/>
          <w:lang w:val="en-US" w:eastAsia="en-US"/>
        </w:rPr>
        <w:t xml:space="preserve"> D</w:t>
      </w:r>
      <w:r w:rsidRPr="005723A4">
        <w:rPr>
          <w:rFonts w:eastAsia="Calibri" w:cs="Calibri"/>
          <w:b/>
          <w:bCs/>
          <w:sz w:val="18"/>
          <w:szCs w:val="18"/>
          <w:lang w:val="en-US" w:eastAsia="en-US"/>
        </w:rPr>
        <w:t>uties and responsibilities for labe</w:t>
      </w:r>
      <w:r w:rsidR="00250A7E">
        <w:rPr>
          <w:rFonts w:eastAsia="Calibri" w:cs="Calibri"/>
          <w:b/>
          <w:bCs/>
          <w:sz w:val="18"/>
          <w:szCs w:val="18"/>
          <w:lang w:val="en-US" w:eastAsia="en-US"/>
        </w:rPr>
        <w:t>l</w:t>
      </w:r>
      <w:r w:rsidRPr="005723A4">
        <w:rPr>
          <w:rFonts w:eastAsia="Calibri" w:cs="Calibri"/>
          <w:b/>
          <w:bCs/>
          <w:sz w:val="18"/>
          <w:szCs w:val="18"/>
          <w:lang w:val="en-US" w:eastAsia="en-US"/>
        </w:rPr>
        <w:t>ling</w:t>
      </w:r>
      <w:bookmarkEnd w:id="87"/>
      <w:bookmarkEnd w:id="88"/>
      <w:bookmarkEnd w:id="89"/>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84"/>
        <w:gridCol w:w="7814"/>
      </w:tblGrid>
      <w:tr w:rsidR="0059373B" w14:paraId="618218C1" w14:textId="77777777" w:rsidTr="00F20062">
        <w:trPr>
          <w:tblHeader/>
        </w:trPr>
        <w:tc>
          <w:tcPr>
            <w:tcW w:w="1684" w:type="dxa"/>
            <w:tcBorders>
              <w:top w:val="single" w:sz="2" w:space="0" w:color="auto"/>
              <w:left w:val="single" w:sz="2" w:space="0" w:color="auto"/>
              <w:bottom w:val="single" w:sz="2" w:space="0" w:color="auto"/>
              <w:right w:val="single" w:sz="2" w:space="0" w:color="auto"/>
            </w:tcBorders>
            <w:shd w:val="clear" w:color="auto" w:fill="auto"/>
            <w:hideMark/>
          </w:tcPr>
          <w:p w14:paraId="618218BF" w14:textId="77777777" w:rsidR="005723A4" w:rsidRPr="005723A4" w:rsidRDefault="00E9069F" w:rsidP="005723A4">
            <w:pPr>
              <w:keepLines w:val="0"/>
              <w:spacing w:before="60" w:after="60"/>
              <w:jc w:val="left"/>
              <w:rPr>
                <w:rFonts w:cs="Arial"/>
                <w:b/>
                <w:sz w:val="18"/>
                <w:szCs w:val="18"/>
                <w:lang w:val="en-GB" w:eastAsia="en-US"/>
              </w:rPr>
            </w:pPr>
            <w:bookmarkStart w:id="90" w:name="_Toc271026270"/>
            <w:bookmarkStart w:id="91" w:name="_Toc271096642"/>
            <w:bookmarkStart w:id="92" w:name="_Toc271532799"/>
            <w:r w:rsidRPr="005723A4">
              <w:rPr>
                <w:rFonts w:cs="Arial"/>
                <w:b/>
                <w:sz w:val="18"/>
                <w:szCs w:val="18"/>
                <w:lang w:val="en-GB" w:eastAsia="en-US"/>
              </w:rPr>
              <w:t>Duty holder</w:t>
            </w:r>
          </w:p>
        </w:tc>
        <w:tc>
          <w:tcPr>
            <w:tcW w:w="7814" w:type="dxa"/>
            <w:tcBorders>
              <w:top w:val="single" w:sz="2" w:space="0" w:color="auto"/>
              <w:left w:val="single" w:sz="2" w:space="0" w:color="auto"/>
              <w:bottom w:val="single" w:sz="2" w:space="0" w:color="auto"/>
              <w:right w:val="single" w:sz="2" w:space="0" w:color="auto"/>
            </w:tcBorders>
            <w:shd w:val="clear" w:color="auto" w:fill="auto"/>
            <w:hideMark/>
          </w:tcPr>
          <w:p w14:paraId="618218C0" w14:textId="77777777" w:rsidR="005723A4" w:rsidRPr="005723A4" w:rsidRDefault="00E9069F" w:rsidP="005723A4">
            <w:pPr>
              <w:keepLines w:val="0"/>
              <w:spacing w:before="60" w:after="60"/>
              <w:jc w:val="left"/>
              <w:rPr>
                <w:rFonts w:cs="Arial"/>
                <w:b/>
                <w:sz w:val="18"/>
                <w:szCs w:val="18"/>
                <w:lang w:val="en-GB" w:eastAsia="en-US"/>
              </w:rPr>
            </w:pPr>
            <w:r w:rsidRPr="005723A4">
              <w:rPr>
                <w:rFonts w:cs="Arial"/>
                <w:b/>
                <w:sz w:val="18"/>
                <w:szCs w:val="18"/>
                <w:lang w:val="en-GB" w:eastAsia="en-US"/>
              </w:rPr>
              <w:t>Responsibilities</w:t>
            </w:r>
          </w:p>
        </w:tc>
      </w:tr>
      <w:tr w:rsidR="0059373B" w14:paraId="618218C4" w14:textId="77777777" w:rsidTr="00F20062">
        <w:tc>
          <w:tcPr>
            <w:tcW w:w="1684" w:type="dxa"/>
            <w:tcBorders>
              <w:top w:val="single" w:sz="2" w:space="0" w:color="auto"/>
              <w:left w:val="single" w:sz="2" w:space="0" w:color="auto"/>
              <w:bottom w:val="single" w:sz="2" w:space="0" w:color="auto"/>
              <w:right w:val="single" w:sz="2" w:space="0" w:color="auto"/>
            </w:tcBorders>
            <w:shd w:val="clear" w:color="auto" w:fill="auto"/>
            <w:hideMark/>
          </w:tcPr>
          <w:p w14:paraId="618218C2" w14:textId="77777777" w:rsidR="005723A4" w:rsidRPr="005723A4" w:rsidRDefault="00E9069F" w:rsidP="005723A4">
            <w:pPr>
              <w:keepLines w:val="0"/>
              <w:spacing w:before="60" w:after="60"/>
              <w:jc w:val="left"/>
              <w:rPr>
                <w:rFonts w:cs="Arial"/>
                <w:color w:val="000000"/>
                <w:sz w:val="18"/>
                <w:szCs w:val="18"/>
                <w:lang w:val="en-GB" w:eastAsia="en-US"/>
              </w:rPr>
            </w:pPr>
            <w:r w:rsidRPr="005723A4">
              <w:rPr>
                <w:rFonts w:cs="Arial"/>
                <w:color w:val="000000"/>
                <w:sz w:val="18"/>
                <w:szCs w:val="18"/>
                <w:lang w:val="en-GB" w:eastAsia="en-US"/>
              </w:rPr>
              <w:t xml:space="preserve">Manufacturers and importers </w:t>
            </w:r>
          </w:p>
        </w:tc>
        <w:tc>
          <w:tcPr>
            <w:tcW w:w="7814" w:type="dxa"/>
            <w:tcBorders>
              <w:top w:val="single" w:sz="2" w:space="0" w:color="auto"/>
              <w:left w:val="single" w:sz="2" w:space="0" w:color="auto"/>
              <w:bottom w:val="single" w:sz="2" w:space="0" w:color="auto"/>
              <w:right w:val="single" w:sz="2" w:space="0" w:color="auto"/>
            </w:tcBorders>
            <w:hideMark/>
          </w:tcPr>
          <w:p w14:paraId="618218C3" w14:textId="45FDCEF9" w:rsidR="005723A4" w:rsidRPr="005723A4" w:rsidRDefault="00E9069F" w:rsidP="00D62420">
            <w:pPr>
              <w:keepLines w:val="0"/>
              <w:numPr>
                <w:ilvl w:val="0"/>
                <w:numId w:val="4"/>
              </w:numPr>
              <w:spacing w:before="60" w:after="60"/>
              <w:jc w:val="left"/>
              <w:rPr>
                <w:rFonts w:cs="Arial"/>
                <w:color w:val="000000"/>
                <w:sz w:val="18"/>
                <w:szCs w:val="18"/>
                <w:lang w:val="en-GB" w:eastAsia="en-US"/>
              </w:rPr>
            </w:pPr>
            <w:r w:rsidRPr="005723A4">
              <w:rPr>
                <w:sz w:val="18"/>
                <w:szCs w:val="18"/>
                <w:lang w:val="en-GB" w:eastAsia="en-US"/>
              </w:rPr>
              <w:t>Ensure that the chemical is correctly labelled</w:t>
            </w:r>
            <w:r w:rsidR="00327A38">
              <w:rPr>
                <w:sz w:val="18"/>
                <w:szCs w:val="18"/>
                <w:lang w:val="en-GB" w:eastAsia="en-US"/>
              </w:rPr>
              <w:t xml:space="preserve"> and that the label is compliant with Australian legislation.</w:t>
            </w:r>
          </w:p>
        </w:tc>
      </w:tr>
      <w:tr w:rsidR="0059373B" w14:paraId="618218C7" w14:textId="77777777" w:rsidTr="00F20062">
        <w:tc>
          <w:tcPr>
            <w:tcW w:w="1684" w:type="dxa"/>
            <w:tcBorders>
              <w:top w:val="single" w:sz="2" w:space="0" w:color="auto"/>
              <w:left w:val="single" w:sz="2" w:space="0" w:color="auto"/>
              <w:bottom w:val="single" w:sz="2" w:space="0" w:color="auto"/>
              <w:right w:val="single" w:sz="2" w:space="0" w:color="auto"/>
            </w:tcBorders>
            <w:shd w:val="clear" w:color="auto" w:fill="auto"/>
            <w:hideMark/>
          </w:tcPr>
          <w:p w14:paraId="618218C5" w14:textId="77777777" w:rsidR="005723A4" w:rsidRPr="005723A4" w:rsidRDefault="00E9069F" w:rsidP="005723A4">
            <w:pPr>
              <w:keepLines w:val="0"/>
              <w:spacing w:before="60" w:after="60"/>
              <w:jc w:val="left"/>
              <w:rPr>
                <w:rFonts w:cs="Arial"/>
                <w:color w:val="000000"/>
                <w:sz w:val="18"/>
                <w:szCs w:val="18"/>
                <w:lang w:val="en-GB" w:eastAsia="en-US"/>
              </w:rPr>
            </w:pPr>
            <w:r w:rsidRPr="005723A4">
              <w:rPr>
                <w:rFonts w:cs="Arial"/>
                <w:color w:val="000000"/>
                <w:sz w:val="18"/>
                <w:szCs w:val="18"/>
                <w:lang w:val="en-GB" w:eastAsia="en-US"/>
              </w:rPr>
              <w:t>Suppliers</w:t>
            </w:r>
          </w:p>
        </w:tc>
        <w:tc>
          <w:tcPr>
            <w:tcW w:w="7814" w:type="dxa"/>
            <w:tcBorders>
              <w:top w:val="single" w:sz="2" w:space="0" w:color="auto"/>
              <w:left w:val="single" w:sz="2" w:space="0" w:color="auto"/>
              <w:bottom w:val="single" w:sz="2" w:space="0" w:color="auto"/>
              <w:right w:val="single" w:sz="2" w:space="0" w:color="auto"/>
            </w:tcBorders>
            <w:hideMark/>
          </w:tcPr>
          <w:p w14:paraId="618218C6" w14:textId="77777777" w:rsidR="005723A4" w:rsidRPr="005723A4" w:rsidRDefault="00E9069F" w:rsidP="00D62420">
            <w:pPr>
              <w:keepLines w:val="0"/>
              <w:numPr>
                <w:ilvl w:val="0"/>
                <w:numId w:val="5"/>
              </w:numPr>
              <w:spacing w:before="60" w:after="60"/>
              <w:ind w:left="357" w:hanging="357"/>
              <w:jc w:val="left"/>
              <w:rPr>
                <w:sz w:val="18"/>
                <w:szCs w:val="18"/>
                <w:lang w:val="en-GB" w:eastAsia="en-US"/>
              </w:rPr>
            </w:pPr>
            <w:r w:rsidRPr="005723A4">
              <w:rPr>
                <w:sz w:val="18"/>
                <w:szCs w:val="18"/>
                <w:lang w:val="en-GB" w:eastAsia="en-US"/>
              </w:rPr>
              <w:t>Must not supply a hazardous chemical to a workplace if the supplier knows, or ought reasonably to know, that the chemical is not correctly labelled.</w:t>
            </w:r>
          </w:p>
        </w:tc>
      </w:tr>
      <w:tr w:rsidR="0059373B" w14:paraId="618218CD" w14:textId="77777777" w:rsidTr="00F20062">
        <w:tc>
          <w:tcPr>
            <w:tcW w:w="1684" w:type="dxa"/>
            <w:tcBorders>
              <w:top w:val="single" w:sz="2" w:space="0" w:color="auto"/>
              <w:left w:val="single" w:sz="2" w:space="0" w:color="auto"/>
              <w:bottom w:val="single" w:sz="2" w:space="0" w:color="auto"/>
              <w:right w:val="single" w:sz="2" w:space="0" w:color="auto"/>
            </w:tcBorders>
            <w:shd w:val="clear" w:color="auto" w:fill="auto"/>
            <w:hideMark/>
          </w:tcPr>
          <w:p w14:paraId="618218C8" w14:textId="77777777" w:rsidR="005723A4" w:rsidRPr="005723A4" w:rsidRDefault="00E9069F" w:rsidP="005723A4">
            <w:pPr>
              <w:keepLines w:val="0"/>
              <w:spacing w:before="60" w:after="60"/>
              <w:jc w:val="left"/>
              <w:rPr>
                <w:rFonts w:cs="Arial"/>
                <w:color w:val="000000"/>
                <w:sz w:val="18"/>
                <w:szCs w:val="18"/>
                <w:lang w:val="en-GB" w:eastAsia="en-US"/>
              </w:rPr>
            </w:pPr>
            <w:r w:rsidRPr="005723A4">
              <w:rPr>
                <w:rFonts w:cs="Arial"/>
                <w:sz w:val="18"/>
                <w:szCs w:val="18"/>
                <w:lang w:val="en-GB" w:eastAsia="en-US"/>
              </w:rPr>
              <w:t>Person who is conducting a business or undertaking (Curtin University)</w:t>
            </w:r>
          </w:p>
        </w:tc>
        <w:tc>
          <w:tcPr>
            <w:tcW w:w="7814" w:type="dxa"/>
            <w:tcBorders>
              <w:top w:val="single" w:sz="2" w:space="0" w:color="auto"/>
              <w:left w:val="single" w:sz="2" w:space="0" w:color="auto"/>
              <w:bottom w:val="single" w:sz="2" w:space="0" w:color="auto"/>
              <w:right w:val="single" w:sz="2" w:space="0" w:color="auto"/>
            </w:tcBorders>
            <w:hideMark/>
          </w:tcPr>
          <w:p w14:paraId="618218C9" w14:textId="77777777" w:rsidR="005723A4" w:rsidRPr="005723A4" w:rsidRDefault="00E9069F" w:rsidP="00D62420">
            <w:pPr>
              <w:keepLines w:val="0"/>
              <w:numPr>
                <w:ilvl w:val="0"/>
                <w:numId w:val="6"/>
              </w:numPr>
              <w:spacing w:before="60" w:after="60"/>
              <w:jc w:val="left"/>
              <w:rPr>
                <w:sz w:val="18"/>
                <w:szCs w:val="18"/>
                <w:lang w:val="en-GB" w:eastAsia="en-US"/>
              </w:rPr>
            </w:pPr>
            <w:r w:rsidRPr="005723A4">
              <w:rPr>
                <w:sz w:val="18"/>
                <w:szCs w:val="18"/>
                <w:lang w:val="en-GB" w:eastAsia="en-US"/>
              </w:rPr>
              <w:t xml:space="preserve">Ensure that any hazardous chemical that is used, </w:t>
            </w:r>
            <w:proofErr w:type="gramStart"/>
            <w:r w:rsidRPr="005723A4">
              <w:rPr>
                <w:sz w:val="18"/>
                <w:szCs w:val="18"/>
                <w:lang w:val="en-GB" w:eastAsia="en-US"/>
              </w:rPr>
              <w:t>handled</w:t>
            </w:r>
            <w:proofErr w:type="gramEnd"/>
            <w:r w:rsidRPr="005723A4">
              <w:rPr>
                <w:sz w:val="18"/>
                <w:szCs w:val="18"/>
                <w:lang w:val="en-GB" w:eastAsia="en-US"/>
              </w:rPr>
              <w:t xml:space="preserve"> or stored at the workplace is correctly labelled</w:t>
            </w:r>
            <w:r w:rsidR="00E50582">
              <w:rPr>
                <w:b/>
                <w:sz w:val="18"/>
                <w:szCs w:val="18"/>
                <w:lang w:val="en-GB" w:eastAsia="en-US"/>
              </w:rPr>
              <w:t>.</w:t>
            </w:r>
          </w:p>
          <w:p w14:paraId="618218CA" w14:textId="77777777" w:rsidR="005723A4" w:rsidRPr="005723A4" w:rsidRDefault="00E9069F" w:rsidP="00D62420">
            <w:pPr>
              <w:keepLines w:val="0"/>
              <w:numPr>
                <w:ilvl w:val="0"/>
                <w:numId w:val="6"/>
              </w:numPr>
              <w:spacing w:before="60" w:after="60"/>
              <w:jc w:val="left"/>
              <w:rPr>
                <w:sz w:val="18"/>
                <w:szCs w:val="18"/>
                <w:lang w:val="en-GB" w:eastAsia="en-US"/>
              </w:rPr>
            </w:pPr>
            <w:r w:rsidRPr="005723A4">
              <w:rPr>
                <w:sz w:val="18"/>
                <w:szCs w:val="18"/>
                <w:lang w:val="en-GB" w:eastAsia="en-US"/>
              </w:rPr>
              <w:t>Ensure that a hazardous chemical is correctly labelled if the chemical is manufactured at the workplace; or transferred or decanted from the chemical’s original container at the workplace.</w:t>
            </w:r>
          </w:p>
          <w:p w14:paraId="618218CB" w14:textId="77777777" w:rsidR="005723A4" w:rsidRPr="005723A4" w:rsidRDefault="00E9069F" w:rsidP="00D62420">
            <w:pPr>
              <w:keepLines w:val="0"/>
              <w:numPr>
                <w:ilvl w:val="0"/>
                <w:numId w:val="6"/>
              </w:numPr>
              <w:spacing w:before="60" w:after="60"/>
              <w:jc w:val="left"/>
              <w:rPr>
                <w:sz w:val="18"/>
                <w:szCs w:val="18"/>
                <w:lang w:val="en-GB" w:eastAsia="en-US"/>
              </w:rPr>
            </w:pPr>
            <w:r w:rsidRPr="005723A4">
              <w:rPr>
                <w:sz w:val="18"/>
                <w:szCs w:val="18"/>
                <w:lang w:val="en-GB" w:eastAsia="en-US"/>
              </w:rPr>
              <w:t xml:space="preserve">Ensure, so far as reasonably practicable, that containers are correctly labelled while holding a hazardous chemical. </w:t>
            </w:r>
          </w:p>
          <w:p w14:paraId="618218CC" w14:textId="77777777" w:rsidR="005723A4" w:rsidRPr="00E50582" w:rsidRDefault="00E9069F" w:rsidP="00D62420">
            <w:pPr>
              <w:keepLines w:val="0"/>
              <w:numPr>
                <w:ilvl w:val="0"/>
                <w:numId w:val="6"/>
              </w:numPr>
              <w:spacing w:before="60" w:after="60"/>
              <w:jc w:val="left"/>
              <w:rPr>
                <w:sz w:val="18"/>
                <w:szCs w:val="18"/>
                <w:lang w:val="en-GB" w:eastAsia="en-US"/>
              </w:rPr>
            </w:pPr>
            <w:r w:rsidRPr="005723A4">
              <w:rPr>
                <w:sz w:val="18"/>
                <w:szCs w:val="18"/>
                <w:lang w:val="en-GB" w:eastAsia="en-US"/>
              </w:rPr>
              <w:t xml:space="preserve">Ensure that containers that are labelled for holding a hazardous chemical are used only for the use, </w:t>
            </w:r>
            <w:proofErr w:type="gramStart"/>
            <w:r w:rsidRPr="005723A4">
              <w:rPr>
                <w:sz w:val="18"/>
                <w:szCs w:val="18"/>
                <w:lang w:val="en-GB" w:eastAsia="en-US"/>
              </w:rPr>
              <w:t>handling</w:t>
            </w:r>
            <w:proofErr w:type="gramEnd"/>
            <w:r w:rsidRPr="005723A4">
              <w:rPr>
                <w:sz w:val="18"/>
                <w:szCs w:val="18"/>
                <w:lang w:val="en-GB" w:eastAsia="en-US"/>
              </w:rPr>
              <w:t xml:space="preserve"> or storage of the hazardous chemical. </w:t>
            </w:r>
          </w:p>
        </w:tc>
      </w:tr>
    </w:tbl>
    <w:p w14:paraId="618218CE" w14:textId="77777777" w:rsidR="001643AC" w:rsidRPr="001643AC" w:rsidRDefault="00E9069F" w:rsidP="005E44A4">
      <w:pPr>
        <w:pStyle w:val="Heading2"/>
      </w:pPr>
      <w:bookmarkStart w:id="93" w:name="_Toc424737806"/>
      <w:bookmarkStart w:id="94" w:name="_Toc101438971"/>
      <w:bookmarkEnd w:id="90"/>
      <w:bookmarkEnd w:id="91"/>
      <w:bookmarkEnd w:id="92"/>
      <w:r>
        <w:t>9.4</w:t>
      </w:r>
      <w:r w:rsidR="00D92E5E">
        <w:t xml:space="preserve">   </w:t>
      </w:r>
      <w:r w:rsidRPr="001643AC">
        <w:t>What information must be included on a label?</w:t>
      </w:r>
      <w:bookmarkEnd w:id="93"/>
      <w:bookmarkEnd w:id="94"/>
    </w:p>
    <w:p w14:paraId="618218CF" w14:textId="77777777" w:rsidR="001643AC" w:rsidRPr="001643AC" w:rsidRDefault="00E9069F" w:rsidP="001643AC">
      <w:pPr>
        <w:rPr>
          <w:rFonts w:eastAsiaTheme="minorEastAsia"/>
          <w:lang w:eastAsia="en-US"/>
        </w:rPr>
      </w:pPr>
      <w:r w:rsidRPr="001643AC">
        <w:rPr>
          <w:rFonts w:eastAsiaTheme="minorEastAsia"/>
          <w:lang w:eastAsia="en-US"/>
        </w:rPr>
        <w:t>A hazardous chemical is correctly labelled if the chemical is packed in a container that includes the following:</w:t>
      </w:r>
    </w:p>
    <w:p w14:paraId="618218D0" w14:textId="77777777" w:rsidR="001643AC" w:rsidRPr="00F5474C" w:rsidRDefault="00E9069F" w:rsidP="00F5474C">
      <w:pPr>
        <w:pStyle w:val="Bullet1"/>
      </w:pPr>
      <w:r w:rsidRPr="00F5474C">
        <w:t>is written in English</w:t>
      </w:r>
    </w:p>
    <w:p w14:paraId="618218D1" w14:textId="77777777" w:rsidR="001643AC" w:rsidRPr="00F5474C" w:rsidRDefault="00E9069F" w:rsidP="00F5474C">
      <w:pPr>
        <w:pStyle w:val="Bullet1"/>
      </w:pPr>
      <w:r w:rsidRPr="00F5474C">
        <w:t>the product identifier</w:t>
      </w:r>
    </w:p>
    <w:p w14:paraId="618218D2" w14:textId="77777777" w:rsidR="001643AC" w:rsidRPr="00F5474C" w:rsidRDefault="00E9069F" w:rsidP="00F5474C">
      <w:pPr>
        <w:pStyle w:val="Bullet1"/>
      </w:pPr>
      <w:r w:rsidRPr="00F5474C">
        <w:t xml:space="preserve">the name, Australian </w:t>
      </w:r>
      <w:proofErr w:type="gramStart"/>
      <w:r w:rsidRPr="00F5474C">
        <w:t>address</w:t>
      </w:r>
      <w:proofErr w:type="gramEnd"/>
      <w:r w:rsidRPr="00F5474C">
        <w:t xml:space="preserve"> and business telephone number of either the manufacturer or importer </w:t>
      </w:r>
    </w:p>
    <w:p w14:paraId="618218D3" w14:textId="77777777" w:rsidR="001643AC" w:rsidRPr="00F5474C" w:rsidRDefault="00E9069F" w:rsidP="00F5474C">
      <w:pPr>
        <w:pStyle w:val="Bullet1"/>
      </w:pPr>
      <w:r w:rsidRPr="00F5474C">
        <w:t>the identity and proportion disclosed, in accordance with Schedule 8 of the WHS Regulations, for each chemical ingredient</w:t>
      </w:r>
    </w:p>
    <w:p w14:paraId="618218D4" w14:textId="77777777" w:rsidR="001643AC" w:rsidRPr="00F5474C" w:rsidRDefault="00E9069F" w:rsidP="00F5474C">
      <w:pPr>
        <w:pStyle w:val="Bullet1"/>
      </w:pPr>
      <w:r w:rsidRPr="00F5474C">
        <w:lastRenderedPageBreak/>
        <w:t xml:space="preserve">any hazard pictogram(s) consistent with the correct classification(s) of the chemical </w:t>
      </w:r>
    </w:p>
    <w:p w14:paraId="618218D5" w14:textId="77777777" w:rsidR="001643AC" w:rsidRPr="00F5474C" w:rsidRDefault="00E9069F" w:rsidP="00F5474C">
      <w:pPr>
        <w:pStyle w:val="Bullet1"/>
      </w:pPr>
      <w:r w:rsidRPr="00F5474C">
        <w:t>any hazard statement(s), signal word and precautionary statement(s) that is consistent with the correct classification(s) of the chemical</w:t>
      </w:r>
    </w:p>
    <w:p w14:paraId="618218D6" w14:textId="77777777" w:rsidR="001643AC" w:rsidRPr="00F5474C" w:rsidRDefault="00E9069F" w:rsidP="00F5474C">
      <w:pPr>
        <w:pStyle w:val="Bullet1"/>
      </w:pPr>
      <w:r w:rsidRPr="00F5474C">
        <w:t>any information about the hazards, first aid and emergency procedures relevant to the chemical, which are not otherwise included in the hazard statement or precautionary statement, and</w:t>
      </w:r>
    </w:p>
    <w:p w14:paraId="618218D7" w14:textId="77777777" w:rsidR="001643AC" w:rsidRPr="00F5474C" w:rsidRDefault="00E9069F" w:rsidP="00F5474C">
      <w:pPr>
        <w:pStyle w:val="Bullet1"/>
      </w:pPr>
      <w:r w:rsidRPr="00F5474C">
        <w:t>the expiry date of the chemical, if applicable.</w:t>
      </w:r>
    </w:p>
    <w:p w14:paraId="618218D8" w14:textId="77777777" w:rsidR="001643AC" w:rsidRPr="001643AC" w:rsidRDefault="00E9069F" w:rsidP="001643AC">
      <w:pPr>
        <w:rPr>
          <w:rFonts w:eastAsiaTheme="minorEastAsia"/>
          <w:lang w:eastAsia="en-US"/>
        </w:rPr>
      </w:pPr>
      <w:r w:rsidRPr="001643AC">
        <w:rPr>
          <w:rFonts w:eastAsiaTheme="minorEastAsia"/>
          <w:lang w:eastAsia="en-US"/>
        </w:rPr>
        <w:t>You may include any information on the label that does not contradict or cast doubt on any other information that is required on the label. The following additional information should also be included on the label, where available:</w:t>
      </w:r>
    </w:p>
    <w:p w14:paraId="618218D9" w14:textId="77777777" w:rsidR="001643AC" w:rsidRPr="00F5474C" w:rsidRDefault="00E9069F" w:rsidP="00F5474C">
      <w:pPr>
        <w:pStyle w:val="Bullet1"/>
      </w:pPr>
      <w:r w:rsidRPr="00F5474C">
        <w:t>an emergency phone number, for specific poisons or treatment advice</w:t>
      </w:r>
    </w:p>
    <w:p w14:paraId="618218DA" w14:textId="77777777" w:rsidR="001643AC" w:rsidRPr="00F5474C" w:rsidRDefault="00E9069F" w:rsidP="00F5474C">
      <w:pPr>
        <w:pStyle w:val="Bullet1"/>
      </w:pPr>
      <w:r w:rsidRPr="00F5474C">
        <w:t>the overseas name, address and telephone number of the manufacturer or supplier</w:t>
      </w:r>
    </w:p>
    <w:p w14:paraId="618218DB" w14:textId="77777777" w:rsidR="001643AC" w:rsidRPr="00F5474C" w:rsidRDefault="00E9069F" w:rsidP="00F5474C">
      <w:pPr>
        <w:pStyle w:val="Bullet1"/>
      </w:pPr>
      <w:r w:rsidRPr="00F5474C">
        <w:t>a valid website or internet address</w:t>
      </w:r>
    </w:p>
    <w:p w14:paraId="618218DC" w14:textId="77777777" w:rsidR="00D92E5E" w:rsidRDefault="00E9069F" w:rsidP="00874BAF">
      <w:pPr>
        <w:pStyle w:val="Bullet1"/>
      </w:pPr>
      <w:r w:rsidRPr="00F5474C">
        <w:t>reference to the safety data sheet, for example a statement on the label that says: “Additional information is listed in the safety data sheet”.</w:t>
      </w:r>
      <w:bookmarkStart w:id="95" w:name="_Toc424737813"/>
      <w:bookmarkStart w:id="96" w:name="_Toc389571043"/>
    </w:p>
    <w:p w14:paraId="618218DE" w14:textId="77777777" w:rsidR="001643AC" w:rsidRPr="00B91625" w:rsidRDefault="00E9069F" w:rsidP="005E44A4">
      <w:pPr>
        <w:pStyle w:val="Heading2"/>
      </w:pPr>
      <w:bookmarkStart w:id="97" w:name="_Toc19005524"/>
      <w:bookmarkStart w:id="98" w:name="_Toc101438972"/>
      <w:r>
        <w:t>9.5</w:t>
      </w:r>
      <w:r w:rsidR="00D92E5E">
        <w:t xml:space="preserve">   </w:t>
      </w:r>
      <w:r w:rsidRPr="00B91625">
        <w:t>Labelling design layout</w:t>
      </w:r>
      <w:bookmarkEnd w:id="95"/>
      <w:bookmarkEnd w:id="97"/>
      <w:bookmarkEnd w:id="98"/>
    </w:p>
    <w:p w14:paraId="618218DF" w14:textId="77777777" w:rsidR="001643AC" w:rsidRPr="001643AC" w:rsidRDefault="00E9069F" w:rsidP="001643AC">
      <w:pPr>
        <w:rPr>
          <w:rFonts w:eastAsiaTheme="minorEastAsia"/>
          <w:lang w:eastAsia="en-US"/>
        </w:rPr>
      </w:pPr>
      <w:r w:rsidRPr="001643AC">
        <w:rPr>
          <w:rFonts w:eastAsiaTheme="minorEastAsia"/>
          <w:lang w:eastAsia="en-US"/>
        </w:rPr>
        <w:t>The label must be written English.</w:t>
      </w:r>
    </w:p>
    <w:p w14:paraId="618218E0" w14:textId="77777777" w:rsidR="001643AC" w:rsidRPr="001643AC" w:rsidRDefault="00E9069F" w:rsidP="001643AC">
      <w:pPr>
        <w:rPr>
          <w:rFonts w:eastAsiaTheme="minorEastAsia"/>
          <w:lang w:eastAsia="en-US"/>
        </w:rPr>
      </w:pPr>
      <w:r w:rsidRPr="001643AC">
        <w:rPr>
          <w:rFonts w:eastAsiaTheme="minorEastAsia"/>
          <w:lang w:eastAsia="en-US"/>
        </w:rPr>
        <w:t>The size of a label should be:</w:t>
      </w:r>
    </w:p>
    <w:p w14:paraId="618218E1" w14:textId="77777777" w:rsidR="001643AC" w:rsidRPr="00F5474C" w:rsidRDefault="00E9069F" w:rsidP="00F5474C">
      <w:pPr>
        <w:pStyle w:val="Bullet1"/>
      </w:pPr>
      <w:r w:rsidRPr="00F5474C">
        <w:t xml:space="preserve">large enough to contain </w:t>
      </w:r>
      <w:proofErr w:type="gramStart"/>
      <w:r w:rsidRPr="00F5474C">
        <w:t>all of</w:t>
      </w:r>
      <w:proofErr w:type="gramEnd"/>
      <w:r w:rsidRPr="00F5474C">
        <w:t xml:space="preserve"> the relevant hazard and other information in a size and style that is easily visible and legible in the workplace</w:t>
      </w:r>
    </w:p>
    <w:p w14:paraId="618218E2" w14:textId="77777777" w:rsidR="001643AC" w:rsidRPr="00F5474C" w:rsidRDefault="00E9069F" w:rsidP="00F5474C">
      <w:pPr>
        <w:pStyle w:val="Bullet1"/>
      </w:pPr>
      <w:r w:rsidRPr="00F5474C">
        <w:t xml:space="preserve">appropriate to the size of the container, with larger labels present on larger containers. </w:t>
      </w:r>
    </w:p>
    <w:p w14:paraId="618218E3" w14:textId="77777777" w:rsidR="001643AC" w:rsidRPr="001643AC" w:rsidRDefault="00E9069F" w:rsidP="001643AC">
      <w:pPr>
        <w:rPr>
          <w:rFonts w:eastAsiaTheme="minorEastAsia"/>
          <w:lang w:eastAsia="en-US"/>
        </w:rPr>
      </w:pPr>
      <w:r w:rsidRPr="001643AC">
        <w:rPr>
          <w:rFonts w:eastAsiaTheme="minorEastAsia"/>
          <w:lang w:eastAsia="en-US"/>
        </w:rPr>
        <w:t xml:space="preserve">The information on a label may be presented using one or more panels, or sections, dependent on the size and shape of the container. The label should be firmly secured to the outside of the container and should be visible in the normal storage position. The label should be sufficiently durable </w:t>
      </w:r>
      <w:proofErr w:type="gramStart"/>
      <w:r w:rsidRPr="001643AC">
        <w:rPr>
          <w:rFonts w:eastAsiaTheme="minorEastAsia"/>
          <w:lang w:eastAsia="en-US"/>
        </w:rPr>
        <w:t>so as to</w:t>
      </w:r>
      <w:proofErr w:type="gramEnd"/>
      <w:r w:rsidRPr="001643AC">
        <w:rPr>
          <w:rFonts w:eastAsiaTheme="minorEastAsia"/>
          <w:lang w:eastAsia="en-US"/>
        </w:rPr>
        <w:t xml:space="preserve"> remain legible and firmly attached to the container for the foreseeable lifetime of the product under normal storage and handling conditions.</w:t>
      </w:r>
    </w:p>
    <w:p w14:paraId="618218E4" w14:textId="77777777" w:rsidR="001643AC" w:rsidRPr="001643AC" w:rsidRDefault="00E9069F" w:rsidP="001643AC">
      <w:pPr>
        <w:rPr>
          <w:rFonts w:eastAsiaTheme="minorEastAsia"/>
          <w:lang w:eastAsia="en-US"/>
        </w:rPr>
      </w:pPr>
      <w:r w:rsidRPr="001643AC">
        <w:rPr>
          <w:rFonts w:eastAsiaTheme="minorEastAsia"/>
          <w:lang w:eastAsia="en-US"/>
        </w:rPr>
        <w:t>The information and hazard pictograms on any label should be printed in a colour or colours that provide a distinct contrast to the background colour.</w:t>
      </w:r>
    </w:p>
    <w:p w14:paraId="618218E5" w14:textId="77777777" w:rsidR="001643AC" w:rsidRPr="001643AC" w:rsidRDefault="00E9069F" w:rsidP="001643AC">
      <w:pPr>
        <w:rPr>
          <w:rFonts w:eastAsiaTheme="minorEastAsia"/>
          <w:lang w:eastAsia="en-US"/>
        </w:rPr>
      </w:pPr>
      <w:r w:rsidRPr="001643AC">
        <w:rPr>
          <w:rFonts w:eastAsiaTheme="minorEastAsia"/>
          <w:lang w:eastAsia="en-US"/>
        </w:rPr>
        <w:t>The following table is provided as a guide for the minimum dimensions for hazard pictograms and sizes of text on containers of various capacities:</w:t>
      </w:r>
    </w:p>
    <w:p w14:paraId="618218E6" w14:textId="77777777" w:rsidR="00327A38" w:rsidRDefault="00327A38">
      <w:pPr>
        <w:keepLines w:val="0"/>
        <w:spacing w:before="0"/>
        <w:jc w:val="left"/>
        <w:rPr>
          <w:rFonts w:eastAsia="Calibri" w:cs="Calibri"/>
          <w:b/>
          <w:bCs/>
          <w:sz w:val="18"/>
          <w:szCs w:val="18"/>
          <w:lang w:val="en-US" w:eastAsia="en-US"/>
        </w:rPr>
      </w:pPr>
      <w:bookmarkStart w:id="99" w:name="_Toc18574528"/>
    </w:p>
    <w:p w14:paraId="618218E7" w14:textId="77777777" w:rsidR="001643AC" w:rsidRPr="001643AC" w:rsidRDefault="00E9069F" w:rsidP="001643AC">
      <w:pPr>
        <w:tabs>
          <w:tab w:val="left" w:pos="992"/>
        </w:tabs>
        <w:spacing w:after="120"/>
        <w:ind w:left="992" w:hanging="992"/>
        <w:rPr>
          <w:rFonts w:eastAsia="Calibri" w:cs="Calibri"/>
          <w:b/>
          <w:bCs/>
          <w:sz w:val="18"/>
          <w:szCs w:val="18"/>
          <w:lang w:val="en-US"/>
        </w:rPr>
      </w:pPr>
      <w:bookmarkStart w:id="100" w:name="_Toc99619990"/>
      <w:r w:rsidRPr="001643AC">
        <w:rPr>
          <w:rFonts w:eastAsia="Calibri" w:cs="Calibri"/>
          <w:b/>
          <w:bCs/>
          <w:sz w:val="18"/>
          <w:szCs w:val="18"/>
          <w:lang w:val="en-US" w:eastAsia="en-US"/>
        </w:rPr>
        <w:t>Table </w:t>
      </w:r>
      <w:r w:rsidRPr="001643AC">
        <w:rPr>
          <w:rFonts w:eastAsia="Calibri" w:cs="Calibri"/>
          <w:b/>
          <w:bCs/>
          <w:sz w:val="18"/>
          <w:szCs w:val="18"/>
          <w:lang w:val="en-US" w:eastAsia="en-US"/>
        </w:rPr>
        <w:fldChar w:fldCharType="begin"/>
      </w:r>
      <w:r w:rsidRPr="001643AC">
        <w:rPr>
          <w:rFonts w:eastAsia="Calibri" w:cs="Calibri"/>
          <w:b/>
          <w:bCs/>
          <w:sz w:val="18"/>
          <w:szCs w:val="18"/>
          <w:lang w:val="en-US" w:eastAsia="en-US"/>
        </w:rPr>
        <w:instrText xml:space="preserve"> SEQ Table \* ARABIC </w:instrText>
      </w:r>
      <w:r w:rsidRPr="001643AC">
        <w:rPr>
          <w:rFonts w:eastAsia="Calibri" w:cs="Calibri"/>
          <w:b/>
          <w:bCs/>
          <w:sz w:val="18"/>
          <w:szCs w:val="18"/>
          <w:lang w:val="en-US" w:eastAsia="en-US"/>
        </w:rPr>
        <w:fldChar w:fldCharType="separate"/>
      </w:r>
      <w:r w:rsidR="00BC0589">
        <w:rPr>
          <w:rFonts w:eastAsia="Calibri" w:cs="Calibri"/>
          <w:b/>
          <w:bCs/>
          <w:noProof/>
          <w:sz w:val="18"/>
          <w:szCs w:val="18"/>
          <w:lang w:val="en-US" w:eastAsia="en-US"/>
        </w:rPr>
        <w:t>3</w:t>
      </w:r>
      <w:r w:rsidRPr="001643AC">
        <w:rPr>
          <w:rFonts w:eastAsia="Calibri" w:cs="Calibri"/>
          <w:b/>
          <w:bCs/>
          <w:sz w:val="18"/>
          <w:szCs w:val="18"/>
          <w:lang w:val="en-US" w:eastAsia="en-US"/>
        </w:rPr>
        <w:fldChar w:fldCharType="end"/>
      </w:r>
      <w:r w:rsidR="006852F2">
        <w:rPr>
          <w:rFonts w:eastAsia="Calibri" w:cs="Calibri"/>
          <w:b/>
          <w:bCs/>
          <w:sz w:val="18"/>
          <w:szCs w:val="18"/>
          <w:lang w:val="en-US" w:eastAsia="en-US"/>
        </w:rPr>
        <w:t>:</w:t>
      </w:r>
      <w:r w:rsidR="00D92E5E">
        <w:rPr>
          <w:rFonts w:eastAsia="Calibri" w:cs="Calibri"/>
          <w:b/>
          <w:bCs/>
          <w:sz w:val="18"/>
          <w:szCs w:val="18"/>
          <w:lang w:val="en-US" w:eastAsia="en-US"/>
        </w:rPr>
        <w:t xml:space="preserve"> </w:t>
      </w:r>
      <w:r w:rsidRPr="001643AC">
        <w:rPr>
          <w:rFonts w:eastAsia="Calibri" w:cs="Calibri"/>
          <w:b/>
          <w:bCs/>
          <w:sz w:val="18"/>
          <w:szCs w:val="18"/>
          <w:lang w:val="en-US" w:eastAsia="en-US"/>
        </w:rPr>
        <w:t>Minimum dimensions for hazard pictograms and sizes of text</w:t>
      </w:r>
      <w:bookmarkEnd w:id="99"/>
      <w:bookmarkEnd w:id="10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2818"/>
        <w:gridCol w:w="1394"/>
      </w:tblGrid>
      <w:tr w:rsidR="0059373B" w14:paraId="618218EC" w14:textId="77777777" w:rsidTr="00CB178D">
        <w:trPr>
          <w:jc w:val="center"/>
        </w:trPr>
        <w:tc>
          <w:tcPr>
            <w:tcW w:w="2746" w:type="pct"/>
            <w:tcBorders>
              <w:top w:val="single" w:sz="4" w:space="0" w:color="auto"/>
              <w:left w:val="single" w:sz="4" w:space="0" w:color="auto"/>
              <w:bottom w:val="single" w:sz="4" w:space="0" w:color="auto"/>
              <w:right w:val="single" w:sz="4" w:space="0" w:color="auto"/>
            </w:tcBorders>
            <w:hideMark/>
          </w:tcPr>
          <w:p w14:paraId="618218E8" w14:textId="77777777" w:rsidR="001643AC" w:rsidRPr="001643AC" w:rsidRDefault="00E9069F" w:rsidP="001643AC">
            <w:pPr>
              <w:keepLines w:val="0"/>
              <w:spacing w:before="60" w:after="60"/>
              <w:jc w:val="left"/>
              <w:rPr>
                <w:rFonts w:cs="Arial"/>
                <w:b/>
                <w:sz w:val="18"/>
                <w:szCs w:val="18"/>
                <w:lang w:val="en-GB" w:eastAsia="en-US"/>
              </w:rPr>
            </w:pPr>
            <w:r w:rsidRPr="001643AC">
              <w:rPr>
                <w:rFonts w:cs="Arial"/>
                <w:b/>
                <w:sz w:val="18"/>
                <w:szCs w:val="18"/>
                <w:lang w:val="en-GB" w:eastAsia="en-US"/>
              </w:rPr>
              <w:t>Container capacity</w:t>
            </w:r>
          </w:p>
        </w:tc>
        <w:tc>
          <w:tcPr>
            <w:tcW w:w="1508" w:type="pct"/>
            <w:tcBorders>
              <w:top w:val="single" w:sz="4" w:space="0" w:color="auto"/>
              <w:left w:val="single" w:sz="4" w:space="0" w:color="auto"/>
              <w:bottom w:val="single" w:sz="4" w:space="0" w:color="auto"/>
              <w:right w:val="single" w:sz="4" w:space="0" w:color="auto"/>
            </w:tcBorders>
            <w:hideMark/>
          </w:tcPr>
          <w:p w14:paraId="618218E9" w14:textId="77777777" w:rsidR="001643AC" w:rsidRPr="001643AC" w:rsidRDefault="00E9069F" w:rsidP="001643AC">
            <w:pPr>
              <w:keepLines w:val="0"/>
              <w:spacing w:before="60" w:after="60"/>
              <w:jc w:val="left"/>
              <w:rPr>
                <w:rFonts w:cs="Arial"/>
                <w:b/>
                <w:sz w:val="18"/>
                <w:szCs w:val="18"/>
                <w:lang w:val="en-GB" w:eastAsia="en-US"/>
              </w:rPr>
            </w:pPr>
            <w:r w:rsidRPr="001643AC">
              <w:rPr>
                <w:rFonts w:cs="Arial"/>
                <w:b/>
                <w:sz w:val="18"/>
                <w:szCs w:val="18"/>
                <w:lang w:val="en-GB" w:eastAsia="en-US"/>
              </w:rPr>
              <w:t>Minimum hazard pictogram dimensions</w:t>
            </w:r>
          </w:p>
        </w:tc>
        <w:tc>
          <w:tcPr>
            <w:tcW w:w="746" w:type="pct"/>
            <w:tcBorders>
              <w:top w:val="single" w:sz="4" w:space="0" w:color="auto"/>
              <w:left w:val="single" w:sz="4" w:space="0" w:color="auto"/>
              <w:bottom w:val="single" w:sz="4" w:space="0" w:color="auto"/>
              <w:right w:val="single" w:sz="4" w:space="0" w:color="auto"/>
            </w:tcBorders>
            <w:hideMark/>
          </w:tcPr>
          <w:p w14:paraId="618218EA" w14:textId="77777777" w:rsidR="001643AC" w:rsidRPr="001643AC" w:rsidRDefault="00E9069F" w:rsidP="001643AC">
            <w:pPr>
              <w:keepLines w:val="0"/>
              <w:spacing w:before="60" w:after="60"/>
              <w:jc w:val="left"/>
              <w:rPr>
                <w:rFonts w:cs="Arial"/>
                <w:b/>
                <w:sz w:val="18"/>
                <w:szCs w:val="18"/>
                <w:lang w:val="en-GB" w:eastAsia="en-US"/>
              </w:rPr>
            </w:pPr>
            <w:r w:rsidRPr="001643AC">
              <w:rPr>
                <w:rFonts w:cs="Arial"/>
                <w:b/>
                <w:sz w:val="18"/>
                <w:szCs w:val="18"/>
                <w:lang w:val="en-GB" w:eastAsia="en-US"/>
              </w:rPr>
              <w:t>Minimum</w:t>
            </w:r>
          </w:p>
          <w:p w14:paraId="618218EB" w14:textId="77777777" w:rsidR="001643AC" w:rsidRPr="001643AC" w:rsidRDefault="00E9069F" w:rsidP="001643AC">
            <w:pPr>
              <w:keepLines w:val="0"/>
              <w:spacing w:before="60" w:after="60"/>
              <w:jc w:val="left"/>
              <w:rPr>
                <w:rFonts w:cs="Arial"/>
                <w:b/>
                <w:sz w:val="18"/>
                <w:szCs w:val="18"/>
                <w:lang w:val="en-GB" w:eastAsia="en-US"/>
              </w:rPr>
            </w:pPr>
            <w:r w:rsidRPr="001643AC">
              <w:rPr>
                <w:rFonts w:cs="Arial"/>
                <w:b/>
                <w:sz w:val="18"/>
                <w:szCs w:val="18"/>
                <w:lang w:val="en-GB" w:eastAsia="en-US"/>
              </w:rPr>
              <w:t>text size</w:t>
            </w:r>
          </w:p>
        </w:tc>
      </w:tr>
      <w:tr w:rsidR="0059373B" w14:paraId="618218F0" w14:textId="77777777" w:rsidTr="00CB178D">
        <w:trPr>
          <w:jc w:val="center"/>
        </w:trPr>
        <w:tc>
          <w:tcPr>
            <w:tcW w:w="2746" w:type="pct"/>
            <w:tcBorders>
              <w:top w:val="single" w:sz="4" w:space="0" w:color="auto"/>
              <w:left w:val="single" w:sz="4" w:space="0" w:color="auto"/>
              <w:bottom w:val="single" w:sz="4" w:space="0" w:color="auto"/>
              <w:right w:val="single" w:sz="4" w:space="0" w:color="auto"/>
            </w:tcBorders>
            <w:hideMark/>
          </w:tcPr>
          <w:p w14:paraId="618218ED" w14:textId="77777777" w:rsidR="001643AC" w:rsidRPr="001643AC" w:rsidRDefault="00E9069F" w:rsidP="001643AC">
            <w:pPr>
              <w:keepLines w:val="0"/>
              <w:spacing w:before="60" w:after="60"/>
              <w:jc w:val="left"/>
              <w:rPr>
                <w:rFonts w:cs="Arial"/>
                <w:sz w:val="18"/>
                <w:szCs w:val="18"/>
                <w:lang w:val="en-GB" w:eastAsia="en-US"/>
              </w:rPr>
            </w:pPr>
            <w:r w:rsidRPr="001643AC">
              <w:rPr>
                <w:rFonts w:cs="Arial"/>
                <w:sz w:val="18"/>
                <w:szCs w:val="18"/>
                <w:lang w:val="en-GB" w:eastAsia="en-US"/>
              </w:rPr>
              <w:t>≤ 500 mL</w:t>
            </w:r>
          </w:p>
        </w:tc>
        <w:tc>
          <w:tcPr>
            <w:tcW w:w="1508" w:type="pct"/>
            <w:tcBorders>
              <w:top w:val="single" w:sz="4" w:space="0" w:color="auto"/>
              <w:left w:val="single" w:sz="4" w:space="0" w:color="auto"/>
              <w:bottom w:val="single" w:sz="4" w:space="0" w:color="auto"/>
              <w:right w:val="single" w:sz="4" w:space="0" w:color="auto"/>
            </w:tcBorders>
            <w:hideMark/>
          </w:tcPr>
          <w:p w14:paraId="618218EE" w14:textId="77777777" w:rsidR="001643AC" w:rsidRPr="001643AC" w:rsidRDefault="00E9069F" w:rsidP="001643AC">
            <w:pPr>
              <w:keepLines w:val="0"/>
              <w:spacing w:before="60" w:after="60"/>
              <w:jc w:val="left"/>
              <w:rPr>
                <w:rFonts w:cs="Arial"/>
                <w:sz w:val="18"/>
                <w:szCs w:val="18"/>
                <w:lang w:val="en-GB" w:eastAsia="en-US"/>
              </w:rPr>
            </w:pPr>
            <w:r w:rsidRPr="001643AC">
              <w:rPr>
                <w:rFonts w:cs="Arial"/>
                <w:sz w:val="18"/>
                <w:szCs w:val="18"/>
                <w:lang w:val="en-GB" w:eastAsia="en-US"/>
              </w:rPr>
              <w:t>15 x 15 mm</w:t>
            </w:r>
          </w:p>
        </w:tc>
        <w:tc>
          <w:tcPr>
            <w:tcW w:w="746" w:type="pct"/>
            <w:tcBorders>
              <w:top w:val="single" w:sz="4" w:space="0" w:color="auto"/>
              <w:left w:val="single" w:sz="4" w:space="0" w:color="auto"/>
              <w:bottom w:val="single" w:sz="4" w:space="0" w:color="auto"/>
              <w:right w:val="single" w:sz="4" w:space="0" w:color="auto"/>
            </w:tcBorders>
            <w:hideMark/>
          </w:tcPr>
          <w:p w14:paraId="618218EF" w14:textId="77777777" w:rsidR="001643AC" w:rsidRPr="001643AC" w:rsidRDefault="00E9069F" w:rsidP="001643AC">
            <w:pPr>
              <w:keepLines w:val="0"/>
              <w:spacing w:before="60" w:after="60"/>
              <w:jc w:val="left"/>
              <w:rPr>
                <w:rFonts w:cs="Arial"/>
                <w:sz w:val="18"/>
                <w:szCs w:val="18"/>
                <w:lang w:val="en-GB" w:eastAsia="en-US"/>
              </w:rPr>
            </w:pPr>
            <w:r w:rsidRPr="001643AC">
              <w:rPr>
                <w:rFonts w:cs="Arial"/>
                <w:sz w:val="18"/>
                <w:szCs w:val="18"/>
                <w:lang w:val="en-GB" w:eastAsia="en-US"/>
              </w:rPr>
              <w:t>2.5 mm</w:t>
            </w:r>
          </w:p>
        </w:tc>
      </w:tr>
      <w:tr w:rsidR="0059373B" w14:paraId="618218F4" w14:textId="77777777" w:rsidTr="00CB178D">
        <w:trPr>
          <w:jc w:val="center"/>
        </w:trPr>
        <w:tc>
          <w:tcPr>
            <w:tcW w:w="2746" w:type="pct"/>
            <w:tcBorders>
              <w:top w:val="single" w:sz="4" w:space="0" w:color="auto"/>
              <w:left w:val="single" w:sz="4" w:space="0" w:color="auto"/>
              <w:bottom w:val="single" w:sz="4" w:space="0" w:color="auto"/>
              <w:right w:val="single" w:sz="4" w:space="0" w:color="auto"/>
            </w:tcBorders>
            <w:hideMark/>
          </w:tcPr>
          <w:p w14:paraId="618218F1" w14:textId="77777777" w:rsidR="001643AC" w:rsidRPr="001643AC" w:rsidRDefault="00E9069F" w:rsidP="001643AC">
            <w:pPr>
              <w:keepLines w:val="0"/>
              <w:spacing w:before="60" w:after="60"/>
              <w:jc w:val="left"/>
              <w:rPr>
                <w:rFonts w:cs="Arial"/>
                <w:sz w:val="18"/>
                <w:szCs w:val="18"/>
                <w:lang w:val="en-GB" w:eastAsia="en-US"/>
              </w:rPr>
            </w:pPr>
            <w:r w:rsidRPr="001643AC">
              <w:rPr>
                <w:rFonts w:cs="Arial"/>
                <w:sz w:val="18"/>
                <w:szCs w:val="18"/>
                <w:lang w:val="en-GB" w:eastAsia="en-US"/>
              </w:rPr>
              <w:t>&gt; 500 mL and ≤ 5 L</w:t>
            </w:r>
          </w:p>
        </w:tc>
        <w:tc>
          <w:tcPr>
            <w:tcW w:w="1508" w:type="pct"/>
            <w:tcBorders>
              <w:top w:val="single" w:sz="4" w:space="0" w:color="auto"/>
              <w:left w:val="single" w:sz="4" w:space="0" w:color="auto"/>
              <w:bottom w:val="single" w:sz="4" w:space="0" w:color="auto"/>
              <w:right w:val="single" w:sz="4" w:space="0" w:color="auto"/>
            </w:tcBorders>
            <w:hideMark/>
          </w:tcPr>
          <w:p w14:paraId="618218F2" w14:textId="77777777" w:rsidR="001643AC" w:rsidRPr="001643AC" w:rsidRDefault="00E9069F" w:rsidP="001643AC">
            <w:pPr>
              <w:keepLines w:val="0"/>
              <w:spacing w:before="60" w:after="60"/>
              <w:jc w:val="left"/>
              <w:rPr>
                <w:rFonts w:cs="Arial"/>
                <w:sz w:val="18"/>
                <w:szCs w:val="18"/>
                <w:lang w:val="en-GB" w:eastAsia="en-US"/>
              </w:rPr>
            </w:pPr>
            <w:r w:rsidRPr="001643AC">
              <w:rPr>
                <w:rFonts w:cs="Arial"/>
                <w:sz w:val="18"/>
                <w:szCs w:val="18"/>
                <w:lang w:val="en-GB" w:eastAsia="en-US"/>
              </w:rPr>
              <w:t>20 x 20 mm</w:t>
            </w:r>
          </w:p>
        </w:tc>
        <w:tc>
          <w:tcPr>
            <w:tcW w:w="746" w:type="pct"/>
            <w:tcBorders>
              <w:top w:val="single" w:sz="4" w:space="0" w:color="auto"/>
              <w:left w:val="single" w:sz="4" w:space="0" w:color="auto"/>
              <w:bottom w:val="single" w:sz="4" w:space="0" w:color="auto"/>
              <w:right w:val="single" w:sz="4" w:space="0" w:color="auto"/>
            </w:tcBorders>
            <w:hideMark/>
          </w:tcPr>
          <w:p w14:paraId="618218F3" w14:textId="77777777" w:rsidR="001643AC" w:rsidRPr="001643AC" w:rsidRDefault="00E9069F" w:rsidP="001643AC">
            <w:pPr>
              <w:keepLines w:val="0"/>
              <w:spacing w:before="60" w:after="60"/>
              <w:jc w:val="left"/>
              <w:rPr>
                <w:rFonts w:cs="Arial"/>
                <w:sz w:val="18"/>
                <w:szCs w:val="18"/>
                <w:lang w:val="en-GB" w:eastAsia="en-US"/>
              </w:rPr>
            </w:pPr>
            <w:r w:rsidRPr="001643AC">
              <w:rPr>
                <w:rFonts w:cs="Arial"/>
                <w:sz w:val="18"/>
                <w:szCs w:val="18"/>
                <w:lang w:val="en-GB" w:eastAsia="en-US"/>
              </w:rPr>
              <w:t>3 mm</w:t>
            </w:r>
          </w:p>
        </w:tc>
      </w:tr>
      <w:tr w:rsidR="0059373B" w14:paraId="618218F8" w14:textId="77777777" w:rsidTr="00CB178D">
        <w:trPr>
          <w:jc w:val="center"/>
        </w:trPr>
        <w:tc>
          <w:tcPr>
            <w:tcW w:w="2746" w:type="pct"/>
            <w:tcBorders>
              <w:top w:val="single" w:sz="4" w:space="0" w:color="auto"/>
              <w:left w:val="single" w:sz="4" w:space="0" w:color="auto"/>
              <w:bottom w:val="single" w:sz="4" w:space="0" w:color="auto"/>
              <w:right w:val="single" w:sz="4" w:space="0" w:color="auto"/>
            </w:tcBorders>
            <w:hideMark/>
          </w:tcPr>
          <w:p w14:paraId="618218F5" w14:textId="77777777" w:rsidR="001643AC" w:rsidRPr="001643AC" w:rsidRDefault="00E9069F" w:rsidP="001643AC">
            <w:pPr>
              <w:keepLines w:val="0"/>
              <w:spacing w:before="60" w:after="60"/>
              <w:jc w:val="left"/>
              <w:rPr>
                <w:rFonts w:cs="Arial"/>
                <w:sz w:val="18"/>
                <w:szCs w:val="18"/>
                <w:lang w:val="en-GB" w:eastAsia="en-US"/>
              </w:rPr>
            </w:pPr>
            <w:r w:rsidRPr="001643AC">
              <w:rPr>
                <w:rFonts w:cs="Arial"/>
                <w:sz w:val="18"/>
                <w:szCs w:val="18"/>
                <w:lang w:val="en-GB" w:eastAsia="en-US"/>
              </w:rPr>
              <w:t>&gt; 5 L and ≤ 25 L</w:t>
            </w:r>
          </w:p>
        </w:tc>
        <w:tc>
          <w:tcPr>
            <w:tcW w:w="1508" w:type="pct"/>
            <w:tcBorders>
              <w:top w:val="single" w:sz="4" w:space="0" w:color="auto"/>
              <w:left w:val="single" w:sz="4" w:space="0" w:color="auto"/>
              <w:bottom w:val="single" w:sz="4" w:space="0" w:color="auto"/>
              <w:right w:val="single" w:sz="4" w:space="0" w:color="auto"/>
            </w:tcBorders>
            <w:hideMark/>
          </w:tcPr>
          <w:p w14:paraId="618218F6" w14:textId="77777777" w:rsidR="001643AC" w:rsidRPr="001643AC" w:rsidRDefault="00E9069F" w:rsidP="001643AC">
            <w:pPr>
              <w:keepLines w:val="0"/>
              <w:spacing w:before="60" w:after="60"/>
              <w:jc w:val="left"/>
              <w:rPr>
                <w:rFonts w:cs="Arial"/>
                <w:sz w:val="18"/>
                <w:szCs w:val="18"/>
                <w:lang w:val="en-GB" w:eastAsia="en-US"/>
              </w:rPr>
            </w:pPr>
            <w:r w:rsidRPr="001643AC">
              <w:rPr>
                <w:rFonts w:cs="Arial"/>
                <w:sz w:val="18"/>
                <w:szCs w:val="18"/>
                <w:lang w:val="en-GB" w:eastAsia="en-US"/>
              </w:rPr>
              <w:t>50 x 50 mm</w:t>
            </w:r>
          </w:p>
        </w:tc>
        <w:tc>
          <w:tcPr>
            <w:tcW w:w="746" w:type="pct"/>
            <w:tcBorders>
              <w:top w:val="single" w:sz="4" w:space="0" w:color="auto"/>
              <w:left w:val="single" w:sz="4" w:space="0" w:color="auto"/>
              <w:bottom w:val="single" w:sz="4" w:space="0" w:color="auto"/>
              <w:right w:val="single" w:sz="4" w:space="0" w:color="auto"/>
            </w:tcBorders>
            <w:hideMark/>
          </w:tcPr>
          <w:p w14:paraId="618218F7" w14:textId="77777777" w:rsidR="001643AC" w:rsidRPr="001643AC" w:rsidRDefault="00E9069F" w:rsidP="001643AC">
            <w:pPr>
              <w:keepLines w:val="0"/>
              <w:spacing w:before="60" w:after="60"/>
              <w:jc w:val="left"/>
              <w:rPr>
                <w:rFonts w:cs="Arial"/>
                <w:sz w:val="18"/>
                <w:szCs w:val="18"/>
                <w:lang w:val="en-GB" w:eastAsia="en-US"/>
              </w:rPr>
            </w:pPr>
            <w:r w:rsidRPr="001643AC">
              <w:rPr>
                <w:rFonts w:cs="Arial"/>
                <w:sz w:val="18"/>
                <w:szCs w:val="18"/>
                <w:lang w:val="en-GB" w:eastAsia="en-US"/>
              </w:rPr>
              <w:t>5 mm</w:t>
            </w:r>
          </w:p>
        </w:tc>
      </w:tr>
      <w:tr w:rsidR="0059373B" w14:paraId="618218FC" w14:textId="77777777" w:rsidTr="00CB178D">
        <w:trPr>
          <w:jc w:val="center"/>
        </w:trPr>
        <w:tc>
          <w:tcPr>
            <w:tcW w:w="2746" w:type="pct"/>
            <w:tcBorders>
              <w:top w:val="single" w:sz="4" w:space="0" w:color="auto"/>
              <w:left w:val="single" w:sz="4" w:space="0" w:color="auto"/>
              <w:bottom w:val="single" w:sz="4" w:space="0" w:color="auto"/>
              <w:right w:val="single" w:sz="4" w:space="0" w:color="auto"/>
            </w:tcBorders>
            <w:hideMark/>
          </w:tcPr>
          <w:p w14:paraId="618218F9" w14:textId="77777777" w:rsidR="001643AC" w:rsidRPr="001643AC" w:rsidRDefault="00E9069F" w:rsidP="001643AC">
            <w:pPr>
              <w:keepLines w:val="0"/>
              <w:spacing w:before="60" w:after="60"/>
              <w:jc w:val="left"/>
              <w:rPr>
                <w:rFonts w:cs="Arial"/>
                <w:sz w:val="18"/>
                <w:szCs w:val="18"/>
                <w:lang w:val="en-GB" w:eastAsia="en-US"/>
              </w:rPr>
            </w:pPr>
            <w:r w:rsidRPr="001643AC">
              <w:rPr>
                <w:rFonts w:cs="Arial"/>
                <w:sz w:val="18"/>
                <w:szCs w:val="18"/>
                <w:lang w:val="en-GB" w:eastAsia="en-US"/>
              </w:rPr>
              <w:t>≥ 25 L</w:t>
            </w:r>
          </w:p>
        </w:tc>
        <w:tc>
          <w:tcPr>
            <w:tcW w:w="1508" w:type="pct"/>
            <w:tcBorders>
              <w:top w:val="single" w:sz="4" w:space="0" w:color="auto"/>
              <w:left w:val="single" w:sz="4" w:space="0" w:color="auto"/>
              <w:bottom w:val="single" w:sz="4" w:space="0" w:color="auto"/>
              <w:right w:val="single" w:sz="4" w:space="0" w:color="auto"/>
            </w:tcBorders>
            <w:hideMark/>
          </w:tcPr>
          <w:p w14:paraId="618218FA" w14:textId="77777777" w:rsidR="001643AC" w:rsidRPr="001643AC" w:rsidRDefault="00E9069F" w:rsidP="001643AC">
            <w:pPr>
              <w:keepLines w:val="0"/>
              <w:spacing w:before="60" w:after="60"/>
              <w:jc w:val="left"/>
              <w:rPr>
                <w:rFonts w:cs="Arial"/>
                <w:sz w:val="18"/>
                <w:szCs w:val="18"/>
                <w:lang w:val="en-GB" w:eastAsia="en-US"/>
              </w:rPr>
            </w:pPr>
            <w:r w:rsidRPr="001643AC">
              <w:rPr>
                <w:rFonts w:cs="Arial"/>
                <w:sz w:val="18"/>
                <w:szCs w:val="18"/>
                <w:lang w:val="en-GB" w:eastAsia="en-US"/>
              </w:rPr>
              <w:t>100 x 100 mm</w:t>
            </w:r>
          </w:p>
        </w:tc>
        <w:tc>
          <w:tcPr>
            <w:tcW w:w="746" w:type="pct"/>
            <w:tcBorders>
              <w:top w:val="single" w:sz="4" w:space="0" w:color="auto"/>
              <w:left w:val="single" w:sz="4" w:space="0" w:color="auto"/>
              <w:bottom w:val="single" w:sz="4" w:space="0" w:color="auto"/>
              <w:right w:val="single" w:sz="4" w:space="0" w:color="auto"/>
            </w:tcBorders>
            <w:hideMark/>
          </w:tcPr>
          <w:p w14:paraId="618218FB" w14:textId="77777777" w:rsidR="001643AC" w:rsidRPr="001643AC" w:rsidRDefault="00E9069F" w:rsidP="001643AC">
            <w:pPr>
              <w:keepLines w:val="0"/>
              <w:spacing w:before="60" w:after="60"/>
              <w:jc w:val="left"/>
              <w:rPr>
                <w:rFonts w:cs="Arial"/>
                <w:sz w:val="18"/>
                <w:szCs w:val="18"/>
                <w:lang w:val="en-GB" w:eastAsia="en-US"/>
              </w:rPr>
            </w:pPr>
            <w:r w:rsidRPr="001643AC">
              <w:rPr>
                <w:rFonts w:cs="Arial"/>
                <w:sz w:val="18"/>
                <w:szCs w:val="18"/>
                <w:lang w:val="en-GB" w:eastAsia="en-US"/>
              </w:rPr>
              <w:t>7 mm</w:t>
            </w:r>
          </w:p>
        </w:tc>
      </w:tr>
    </w:tbl>
    <w:p w14:paraId="618218FD" w14:textId="77777777" w:rsidR="001643AC" w:rsidRPr="001643AC" w:rsidRDefault="00E9069F" w:rsidP="001643AC">
      <w:pPr>
        <w:tabs>
          <w:tab w:val="left" w:pos="709"/>
        </w:tabs>
        <w:spacing w:before="45"/>
        <w:ind w:left="822" w:right="113" w:hanging="709"/>
        <w:rPr>
          <w:rFonts w:eastAsiaTheme="minorEastAsia"/>
          <w:sz w:val="16"/>
          <w:szCs w:val="16"/>
          <w:lang w:eastAsia="en-US"/>
        </w:rPr>
      </w:pPr>
      <w:r w:rsidRPr="001643AC">
        <w:rPr>
          <w:rFonts w:eastAsiaTheme="minorEastAsia"/>
          <w:sz w:val="16"/>
          <w:szCs w:val="16"/>
          <w:lang w:eastAsia="en-US"/>
        </w:rPr>
        <w:t>Note 1: Refer to the ADG Code for marking requirements for dangerous goods being transported.</w:t>
      </w:r>
    </w:p>
    <w:p w14:paraId="618218FE" w14:textId="77777777" w:rsidR="00A711F1" w:rsidRDefault="00E9069F" w:rsidP="005E44A4">
      <w:pPr>
        <w:pStyle w:val="Heading2"/>
      </w:pPr>
      <w:bookmarkStart w:id="101" w:name="_Toc19005525"/>
      <w:bookmarkStart w:id="102" w:name="_Toc101438973"/>
      <w:bookmarkStart w:id="103" w:name="_Toc424737814"/>
      <w:r>
        <w:lastRenderedPageBreak/>
        <w:t>9.</w:t>
      </w:r>
      <w:r w:rsidR="005D0A07">
        <w:t>6</w:t>
      </w:r>
      <w:r w:rsidR="00D92E5E">
        <w:t xml:space="preserve">   </w:t>
      </w:r>
      <w:r>
        <w:t>ChemAlert Labels</w:t>
      </w:r>
      <w:bookmarkEnd w:id="101"/>
      <w:bookmarkEnd w:id="102"/>
      <w:r>
        <w:t xml:space="preserve"> </w:t>
      </w:r>
    </w:p>
    <w:p w14:paraId="618218FF" w14:textId="0A4A3178" w:rsidR="00A711F1" w:rsidRDefault="00E9069F" w:rsidP="00250A7E">
      <w:pPr>
        <w:pStyle w:val="Heading3"/>
        <w:ind w:left="851" w:hanging="851"/>
      </w:pPr>
      <w:bookmarkStart w:id="104" w:name="_Toc19005526"/>
      <w:r>
        <w:t>9.</w:t>
      </w:r>
      <w:r w:rsidR="005D0A07">
        <w:t>6</w:t>
      </w:r>
      <w:r>
        <w:t>.1</w:t>
      </w:r>
      <w:r w:rsidR="00D92E5E">
        <w:t xml:space="preserve">   </w:t>
      </w:r>
      <w:r>
        <w:t>For original containers.</w:t>
      </w:r>
      <w:bookmarkEnd w:id="104"/>
    </w:p>
    <w:p w14:paraId="61821900" w14:textId="77777777" w:rsidR="00A711F1" w:rsidRDefault="00E9069F" w:rsidP="00A711F1">
      <w:r>
        <w:t xml:space="preserve">In most cases the simplest method to produce compliant labels is to print them from ChemAlert which provides a range of labels suitable for drums, </w:t>
      </w:r>
      <w:proofErr w:type="gramStart"/>
      <w:r>
        <w:t>Winchesters</w:t>
      </w:r>
      <w:proofErr w:type="gramEnd"/>
      <w:r>
        <w:t xml:space="preserve"> and small bottles, including some label templates. Additional labels may be required </w:t>
      </w:r>
      <w:proofErr w:type="gramStart"/>
      <w:r>
        <w:t>in the event that</w:t>
      </w:r>
      <w:proofErr w:type="gramEnd"/>
      <w:r>
        <w:t xml:space="preserve"> the vendor cannot or will not provide replacement labels swiftly, or where decanting from the original container into smaller/additional containers has occurred. </w:t>
      </w:r>
    </w:p>
    <w:p w14:paraId="61821901" w14:textId="77777777" w:rsidR="00A711F1" w:rsidRPr="001643AC" w:rsidRDefault="00E9069F" w:rsidP="005E44A4">
      <w:pPr>
        <w:pStyle w:val="Heading2"/>
      </w:pPr>
      <w:bookmarkStart w:id="105" w:name="_Toc424737807"/>
      <w:bookmarkStart w:id="106" w:name="_Toc19005527"/>
      <w:bookmarkStart w:id="107" w:name="_Toc101438974"/>
      <w:bookmarkStart w:id="108" w:name="_Toc389571045"/>
      <w:bookmarkStart w:id="109" w:name="_Toc424737815"/>
      <w:bookmarkEnd w:id="96"/>
      <w:bookmarkEnd w:id="103"/>
      <w:r>
        <w:t>9.</w:t>
      </w:r>
      <w:r w:rsidR="005D0A07">
        <w:t>7</w:t>
      </w:r>
      <w:r w:rsidR="00D92E5E">
        <w:t xml:space="preserve">   </w:t>
      </w:r>
      <w:r w:rsidRPr="001643AC">
        <w:t>Special Labelling Situations</w:t>
      </w:r>
      <w:bookmarkEnd w:id="105"/>
      <w:bookmarkEnd w:id="106"/>
      <w:bookmarkEnd w:id="107"/>
    </w:p>
    <w:p w14:paraId="61821902" w14:textId="6D742682" w:rsidR="00A711F1" w:rsidRPr="001643AC" w:rsidRDefault="00E9069F" w:rsidP="00B9065A">
      <w:pPr>
        <w:keepNext/>
        <w:keepLines w:val="0"/>
        <w:tabs>
          <w:tab w:val="left" w:pos="851"/>
        </w:tabs>
        <w:jc w:val="left"/>
        <w:outlineLvl w:val="2"/>
        <w:rPr>
          <w:rFonts w:eastAsiaTheme="minorEastAsia"/>
          <w:b/>
          <w:lang w:eastAsia="en-US"/>
        </w:rPr>
      </w:pPr>
      <w:bookmarkStart w:id="110" w:name="_Toc424737808"/>
      <w:r>
        <w:rPr>
          <w:rFonts w:eastAsiaTheme="minorEastAsia"/>
          <w:b/>
          <w:lang w:eastAsia="en-US"/>
        </w:rPr>
        <w:t>9.</w:t>
      </w:r>
      <w:r w:rsidR="005D0A07">
        <w:rPr>
          <w:rFonts w:eastAsiaTheme="minorEastAsia"/>
          <w:b/>
          <w:lang w:eastAsia="en-US"/>
        </w:rPr>
        <w:t>7</w:t>
      </w:r>
      <w:r>
        <w:rPr>
          <w:rFonts w:eastAsiaTheme="minorEastAsia"/>
          <w:b/>
          <w:lang w:eastAsia="en-US"/>
        </w:rPr>
        <w:t>.</w:t>
      </w:r>
      <w:r w:rsidR="009B108F">
        <w:rPr>
          <w:rFonts w:eastAsiaTheme="minorEastAsia"/>
          <w:b/>
          <w:lang w:eastAsia="en-US"/>
        </w:rPr>
        <w:t xml:space="preserve">1   </w:t>
      </w:r>
      <w:r w:rsidRPr="001643AC">
        <w:rPr>
          <w:rFonts w:eastAsiaTheme="minorEastAsia"/>
          <w:b/>
          <w:lang w:eastAsia="en-US"/>
        </w:rPr>
        <w:t>Small containers</w:t>
      </w:r>
      <w:bookmarkEnd w:id="110"/>
    </w:p>
    <w:p w14:paraId="61821903" w14:textId="77777777" w:rsidR="00A711F1" w:rsidRPr="001643AC" w:rsidRDefault="00E9069F" w:rsidP="00A711F1">
      <w:pPr>
        <w:rPr>
          <w:rFonts w:eastAsiaTheme="minorEastAsia"/>
          <w:lang w:eastAsia="en-US"/>
        </w:rPr>
      </w:pPr>
      <w:r w:rsidRPr="001643AC">
        <w:rPr>
          <w:rFonts w:eastAsiaTheme="minorEastAsia"/>
          <w:lang w:eastAsia="en-US"/>
        </w:rPr>
        <w:t>Where a hazardous chemical is packaged in a container that is too small to attach a label with information that is required of hazardous chemical labels in general, then the label must be written in English and include the following:</w:t>
      </w:r>
    </w:p>
    <w:p w14:paraId="61821904" w14:textId="77777777" w:rsidR="00A711F1" w:rsidRPr="00F5474C" w:rsidRDefault="00E9069F" w:rsidP="00F5474C">
      <w:pPr>
        <w:pStyle w:val="Bullet1"/>
      </w:pPr>
      <w:r w:rsidRPr="00F5474C">
        <w:t>the product identifier</w:t>
      </w:r>
    </w:p>
    <w:p w14:paraId="61821905" w14:textId="77777777" w:rsidR="00A711F1" w:rsidRPr="00F5474C" w:rsidRDefault="00E9069F" w:rsidP="00F5474C">
      <w:pPr>
        <w:pStyle w:val="Bullet1"/>
      </w:pPr>
      <w:r w:rsidRPr="00F5474C">
        <w:t xml:space="preserve">the name, Australian </w:t>
      </w:r>
      <w:proofErr w:type="gramStart"/>
      <w:r w:rsidRPr="00F5474C">
        <w:t>address</w:t>
      </w:r>
      <w:proofErr w:type="gramEnd"/>
      <w:r w:rsidRPr="00F5474C">
        <w:t xml:space="preserve"> and business telephone number of either the manufacturer or importer. </w:t>
      </w:r>
    </w:p>
    <w:p w14:paraId="61821906" w14:textId="77777777" w:rsidR="00A711F1" w:rsidRPr="00F5474C" w:rsidRDefault="00E9069F" w:rsidP="00F5474C">
      <w:pPr>
        <w:pStyle w:val="Bullet1"/>
      </w:pPr>
      <w:r w:rsidRPr="00F5474C">
        <w:t>a hazard pictogram or hazard statement that is consistent with the correct classification of the chemical, and</w:t>
      </w:r>
    </w:p>
    <w:p w14:paraId="61821907" w14:textId="77777777" w:rsidR="00A711F1" w:rsidRPr="00F5474C" w:rsidRDefault="00E9069F" w:rsidP="00F5474C">
      <w:pPr>
        <w:pStyle w:val="Bullet1"/>
      </w:pPr>
      <w:r w:rsidRPr="00F5474C">
        <w:t>any other information required for hazardous chemicals labels in general that is reasonably practicable to include.</w:t>
      </w:r>
    </w:p>
    <w:p w14:paraId="61821908" w14:textId="1BF646CF" w:rsidR="00A711F1" w:rsidRPr="001643AC" w:rsidRDefault="00E9069F" w:rsidP="00B9065A">
      <w:pPr>
        <w:keepNext/>
        <w:keepLines w:val="0"/>
        <w:tabs>
          <w:tab w:val="left" w:pos="851"/>
        </w:tabs>
        <w:jc w:val="left"/>
        <w:outlineLvl w:val="2"/>
        <w:rPr>
          <w:rFonts w:eastAsiaTheme="minorEastAsia"/>
          <w:b/>
          <w:lang w:eastAsia="en-US"/>
        </w:rPr>
      </w:pPr>
      <w:bookmarkStart w:id="111" w:name="_Toc424737809"/>
      <w:r>
        <w:rPr>
          <w:rFonts w:eastAsiaTheme="minorEastAsia"/>
          <w:b/>
          <w:lang w:eastAsia="en-US"/>
        </w:rPr>
        <w:t>9.</w:t>
      </w:r>
      <w:r w:rsidR="005D0A07">
        <w:rPr>
          <w:rFonts w:eastAsiaTheme="minorEastAsia"/>
          <w:b/>
          <w:lang w:eastAsia="en-US"/>
        </w:rPr>
        <w:t>7</w:t>
      </w:r>
      <w:r>
        <w:rPr>
          <w:rFonts w:eastAsiaTheme="minorEastAsia"/>
          <w:b/>
          <w:lang w:eastAsia="en-US"/>
        </w:rPr>
        <w:t>.2</w:t>
      </w:r>
      <w:r w:rsidR="009B108F">
        <w:rPr>
          <w:rFonts w:eastAsiaTheme="minorEastAsia"/>
          <w:b/>
          <w:lang w:eastAsia="en-US"/>
        </w:rPr>
        <w:t xml:space="preserve"> </w:t>
      </w:r>
      <w:r w:rsidR="00D92E5E">
        <w:rPr>
          <w:rFonts w:eastAsiaTheme="minorEastAsia"/>
          <w:b/>
          <w:lang w:eastAsia="en-US"/>
        </w:rPr>
        <w:t xml:space="preserve">  </w:t>
      </w:r>
      <w:r w:rsidRPr="001643AC">
        <w:rPr>
          <w:rFonts w:eastAsiaTheme="minorEastAsia"/>
          <w:b/>
          <w:lang w:eastAsia="en-US"/>
        </w:rPr>
        <w:t>Research chemicals or samples for analysis</w:t>
      </w:r>
      <w:bookmarkEnd w:id="111"/>
    </w:p>
    <w:p w14:paraId="61821909" w14:textId="77777777" w:rsidR="00A711F1" w:rsidRDefault="00E9069F" w:rsidP="00A711F1">
      <w:pPr>
        <w:rPr>
          <w:rFonts w:eastAsiaTheme="minorEastAsia"/>
          <w:lang w:eastAsia="en-US"/>
        </w:rPr>
      </w:pPr>
      <w:r w:rsidRPr="001643AC">
        <w:rPr>
          <w:rFonts w:eastAsiaTheme="minorEastAsia"/>
          <w:lang w:eastAsia="en-US"/>
        </w:rPr>
        <w:t>If a hazardous chemical is used for research purposes only or is a sample for analysis, the label must, at a minimum, be written in English and include the product identifier and a hazard pictogram or hazard statement that is consistent with the correct classification of the chemical.</w:t>
      </w:r>
    </w:p>
    <w:p w14:paraId="6182190A" w14:textId="0595A3A8" w:rsidR="00775A60" w:rsidRPr="001643AC" w:rsidRDefault="00E9069F" w:rsidP="00A711F1">
      <w:pPr>
        <w:rPr>
          <w:rFonts w:eastAsiaTheme="minorEastAsia"/>
          <w:lang w:eastAsia="en-US"/>
        </w:rPr>
      </w:pPr>
      <w:r>
        <w:rPr>
          <w:rFonts w:eastAsiaTheme="minorEastAsia"/>
          <w:lang w:eastAsia="en-US"/>
        </w:rPr>
        <w:t xml:space="preserve">A </w:t>
      </w:r>
      <w:r w:rsidR="00C32983">
        <w:rPr>
          <w:rFonts w:eastAsiaTheme="minorEastAsia"/>
          <w:lang w:eastAsia="en-US"/>
        </w:rPr>
        <w:t xml:space="preserve">chemical  </w:t>
      </w:r>
      <w:hyperlink r:id="rId45" w:history="1">
        <w:r w:rsidR="00760388" w:rsidRPr="003A782C">
          <w:rPr>
            <w:rStyle w:val="Hyperlink"/>
            <w:rFonts w:eastAsia="Arial"/>
          </w:rPr>
          <w:t>Label Template</w:t>
        </w:r>
      </w:hyperlink>
      <w:r w:rsidR="00C32983" w:rsidRPr="003A782C">
        <w:rPr>
          <w:rFonts w:eastAsiaTheme="minorEastAsia" w:hint="eastAsia"/>
          <w:lang w:eastAsia="en-US"/>
        </w:rPr>
        <w:t> </w:t>
      </w:r>
      <w:r w:rsidR="002B145B">
        <w:rPr>
          <w:rFonts w:eastAsiaTheme="minorEastAsia"/>
          <w:lang w:eastAsia="en-US"/>
        </w:rPr>
        <w:t xml:space="preserve">for samples </w:t>
      </w:r>
      <w:r w:rsidR="00C32983" w:rsidRPr="003A782C">
        <w:rPr>
          <w:rFonts w:eastAsiaTheme="minorEastAsia"/>
          <w:lang w:eastAsia="en-US"/>
        </w:rPr>
        <w:t xml:space="preserve">is </w:t>
      </w:r>
      <w:r w:rsidR="00C32983">
        <w:rPr>
          <w:rFonts w:eastAsiaTheme="minorEastAsia"/>
          <w:lang w:eastAsia="en-US"/>
        </w:rPr>
        <w:t xml:space="preserve">available on the </w:t>
      </w:r>
      <w:r w:rsidR="00C32983" w:rsidRPr="003A782C">
        <w:rPr>
          <w:rFonts w:eastAsiaTheme="minorEastAsia"/>
          <w:lang w:eastAsia="en-US"/>
        </w:rPr>
        <w:t xml:space="preserve">Health and </w:t>
      </w:r>
      <w:r w:rsidR="00C32983">
        <w:rPr>
          <w:rFonts w:eastAsiaTheme="minorEastAsia"/>
          <w:lang w:eastAsia="en-US"/>
        </w:rPr>
        <w:t>S</w:t>
      </w:r>
      <w:r w:rsidR="00C32983" w:rsidRPr="003A782C">
        <w:rPr>
          <w:rFonts w:eastAsiaTheme="minorEastAsia"/>
          <w:lang w:eastAsia="en-US"/>
        </w:rPr>
        <w:t xml:space="preserve">afety </w:t>
      </w:r>
      <w:r w:rsidR="00C32983">
        <w:rPr>
          <w:rFonts w:eastAsiaTheme="minorEastAsia"/>
          <w:lang w:eastAsia="en-US"/>
        </w:rPr>
        <w:t>website</w:t>
      </w:r>
      <w:r w:rsidR="00C32983" w:rsidRPr="003A782C">
        <w:rPr>
          <w:rFonts w:eastAsiaTheme="minorEastAsia"/>
          <w:lang w:eastAsia="en-US"/>
        </w:rPr>
        <w:t>.</w:t>
      </w:r>
    </w:p>
    <w:p w14:paraId="6182190B" w14:textId="0F1671FD" w:rsidR="00A711F1" w:rsidRPr="001643AC" w:rsidRDefault="00E9069F" w:rsidP="00B9065A">
      <w:pPr>
        <w:keepNext/>
        <w:keepLines w:val="0"/>
        <w:tabs>
          <w:tab w:val="left" w:pos="851"/>
        </w:tabs>
        <w:jc w:val="left"/>
        <w:outlineLvl w:val="2"/>
        <w:rPr>
          <w:rFonts w:eastAsiaTheme="minorEastAsia"/>
          <w:b/>
          <w:lang w:eastAsia="en-US"/>
        </w:rPr>
      </w:pPr>
      <w:bookmarkStart w:id="112" w:name="_Toc424737810"/>
      <w:r>
        <w:rPr>
          <w:rFonts w:eastAsiaTheme="minorEastAsia"/>
          <w:b/>
          <w:lang w:eastAsia="en-US"/>
        </w:rPr>
        <w:t>9.</w:t>
      </w:r>
      <w:r w:rsidR="005D0A07">
        <w:rPr>
          <w:rFonts w:eastAsiaTheme="minorEastAsia"/>
          <w:b/>
          <w:lang w:eastAsia="en-US"/>
        </w:rPr>
        <w:t>7</w:t>
      </w:r>
      <w:r>
        <w:rPr>
          <w:rFonts w:eastAsiaTheme="minorEastAsia"/>
          <w:b/>
          <w:lang w:eastAsia="en-US"/>
        </w:rPr>
        <w:t xml:space="preserve">.3   </w:t>
      </w:r>
      <w:r w:rsidRPr="001643AC">
        <w:rPr>
          <w:rFonts w:eastAsiaTheme="minorEastAsia"/>
          <w:b/>
          <w:lang w:eastAsia="en-US"/>
        </w:rPr>
        <w:t>Decanted or transferred hazardous chemicals</w:t>
      </w:r>
      <w:bookmarkEnd w:id="112"/>
    </w:p>
    <w:p w14:paraId="6182190C" w14:textId="6B1FB878" w:rsidR="00A711F1" w:rsidRPr="001643AC" w:rsidRDefault="00E9069F" w:rsidP="00A711F1">
      <w:pPr>
        <w:rPr>
          <w:rFonts w:eastAsiaTheme="minorEastAsia"/>
          <w:lang w:eastAsia="en-US"/>
        </w:rPr>
      </w:pPr>
      <w:r w:rsidRPr="001643AC">
        <w:rPr>
          <w:rFonts w:eastAsiaTheme="minorEastAsia"/>
          <w:lang w:eastAsia="en-US"/>
        </w:rPr>
        <w:t>If a hazardous chemical has been decanted or transferred from the container in which it was packed and it will not be used immediately or it is supplied to someone else, the label must at a minimum, be written in English and include the following:</w:t>
      </w:r>
    </w:p>
    <w:p w14:paraId="6182190D" w14:textId="77777777" w:rsidR="00A711F1" w:rsidRPr="0032625C" w:rsidRDefault="00E9069F" w:rsidP="0032625C">
      <w:pPr>
        <w:pStyle w:val="Bullet1"/>
      </w:pPr>
      <w:r w:rsidRPr="0032625C">
        <w:t>the product identifier, and</w:t>
      </w:r>
    </w:p>
    <w:p w14:paraId="6182190E" w14:textId="77777777" w:rsidR="00A711F1" w:rsidRPr="0032625C" w:rsidRDefault="00E9069F" w:rsidP="0032625C">
      <w:pPr>
        <w:pStyle w:val="Bullet1"/>
      </w:pPr>
      <w:r w:rsidRPr="0032625C">
        <w:t>a hazard pictogram or hazard statement consistent with the correct classification of the chemical.</w:t>
      </w:r>
    </w:p>
    <w:p w14:paraId="61821910" w14:textId="77777777" w:rsidR="00A711F1" w:rsidRPr="00A711F1" w:rsidRDefault="00E9069F" w:rsidP="00A711F1">
      <w:pPr>
        <w:tabs>
          <w:tab w:val="num" w:pos="567"/>
        </w:tabs>
        <w:spacing w:before="120"/>
        <w:rPr>
          <w:rFonts w:eastAsiaTheme="minorEastAsia"/>
          <w:lang w:eastAsia="en-US"/>
        </w:rPr>
      </w:pPr>
      <w:r w:rsidRPr="00A711F1">
        <w:rPr>
          <w:rFonts w:eastAsiaTheme="minorEastAsia"/>
          <w:lang w:eastAsia="en-US"/>
        </w:rPr>
        <w:t xml:space="preserve">Where the entire amount of a decanted hazardous chemical will be used immediately, labelling </w:t>
      </w:r>
      <w:r w:rsidRPr="00A711F1">
        <w:rPr>
          <w:rFonts w:eastAsiaTheme="minorEastAsia"/>
          <w:lang w:eastAsia="en-US"/>
        </w:rPr>
        <w:br/>
        <w:t xml:space="preserve">of its container is not required. </w:t>
      </w:r>
    </w:p>
    <w:p w14:paraId="61821911" w14:textId="77777777" w:rsidR="00A711F1" w:rsidRPr="00A711F1" w:rsidRDefault="00E9069F" w:rsidP="00A711F1">
      <w:pPr>
        <w:tabs>
          <w:tab w:val="num" w:pos="567"/>
        </w:tabs>
        <w:spacing w:before="120"/>
        <w:rPr>
          <w:rFonts w:eastAsiaTheme="minorEastAsia"/>
          <w:lang w:eastAsia="en-US"/>
        </w:rPr>
      </w:pPr>
      <w:r w:rsidRPr="00A711F1">
        <w:rPr>
          <w:rFonts w:eastAsiaTheme="minorEastAsia"/>
          <w:lang w:eastAsia="en-US"/>
        </w:rPr>
        <w:t xml:space="preserve">A decanted hazardous chemical can only </w:t>
      </w:r>
      <w:proofErr w:type="gramStart"/>
      <w:r w:rsidRPr="00A711F1">
        <w:rPr>
          <w:rFonts w:eastAsiaTheme="minorEastAsia"/>
          <w:lang w:eastAsia="en-US"/>
        </w:rPr>
        <w:t>be considered to be</w:t>
      </w:r>
      <w:proofErr w:type="gramEnd"/>
      <w:r w:rsidRPr="00A711F1">
        <w:rPr>
          <w:rFonts w:eastAsiaTheme="minorEastAsia"/>
          <w:lang w:eastAsia="en-US"/>
        </w:rPr>
        <w:t xml:space="preserve"> used immediately in situations where:</w:t>
      </w:r>
    </w:p>
    <w:p w14:paraId="61821912" w14:textId="77777777" w:rsidR="00A711F1" w:rsidRPr="0032625C" w:rsidRDefault="00E9069F" w:rsidP="0032625C">
      <w:pPr>
        <w:pStyle w:val="Bullet1"/>
      </w:pPr>
      <w:r w:rsidRPr="0032625C">
        <w:t>it is not left unattended by the person who decanted it</w:t>
      </w:r>
    </w:p>
    <w:p w14:paraId="61821913" w14:textId="77777777" w:rsidR="00A711F1" w:rsidRPr="0032625C" w:rsidRDefault="00E9069F" w:rsidP="0032625C">
      <w:pPr>
        <w:pStyle w:val="Bullet1"/>
      </w:pPr>
      <w:r w:rsidRPr="0032625C">
        <w:t>the decanted hazardous chemical is used only by a person present at the decanting process</w:t>
      </w:r>
    </w:p>
    <w:p w14:paraId="61821914" w14:textId="77777777" w:rsidR="00A711F1" w:rsidRPr="0032625C" w:rsidRDefault="00E9069F" w:rsidP="0032625C">
      <w:pPr>
        <w:pStyle w:val="Bullet1"/>
      </w:pPr>
      <w:r w:rsidRPr="0032625C">
        <w:t xml:space="preserve">the container is subsequently rendered free from any hazardous chemical immediately after use, so the container is in the condition it would be in if it had never contained the chemical. </w:t>
      </w:r>
    </w:p>
    <w:p w14:paraId="61821915" w14:textId="77777777" w:rsidR="001643AC" w:rsidRPr="001643AC" w:rsidRDefault="00E9069F" w:rsidP="005E44A4">
      <w:pPr>
        <w:pStyle w:val="Heading2"/>
      </w:pPr>
      <w:bookmarkStart w:id="113" w:name="_Toc19005528"/>
      <w:bookmarkStart w:id="114" w:name="_Toc101438975"/>
      <w:r>
        <w:lastRenderedPageBreak/>
        <w:t>9.</w:t>
      </w:r>
      <w:r w:rsidR="005D0A07">
        <w:t>8</w:t>
      </w:r>
      <w:r w:rsidR="00D92E5E">
        <w:t xml:space="preserve">   </w:t>
      </w:r>
      <w:r w:rsidRPr="001643AC">
        <w:t>Container Incorrectly Labelled</w:t>
      </w:r>
      <w:bookmarkEnd w:id="108"/>
      <w:bookmarkEnd w:id="109"/>
      <w:bookmarkEnd w:id="113"/>
      <w:bookmarkEnd w:id="114"/>
    </w:p>
    <w:p w14:paraId="61821916" w14:textId="77777777" w:rsidR="001643AC" w:rsidRPr="001643AC" w:rsidRDefault="00E9069F" w:rsidP="001643AC">
      <w:pPr>
        <w:rPr>
          <w:rFonts w:asciiTheme="minorHAnsi" w:eastAsiaTheme="minorEastAsia" w:hAnsiTheme="minorHAnsi" w:cstheme="minorBidi"/>
        </w:rPr>
      </w:pPr>
      <w:r w:rsidRPr="001643AC">
        <w:rPr>
          <w:rFonts w:eastAsia="Arial"/>
        </w:rPr>
        <w:t>If a container is not properly labelled, for example the label has been lost, the container should have the product name, if known, attached to it. Unlabelled containers of an unknown chemical shall be labelled:</w:t>
      </w:r>
    </w:p>
    <w:p w14:paraId="61821917" w14:textId="77777777" w:rsidR="001643AC" w:rsidRPr="001643AC" w:rsidRDefault="00E9069F" w:rsidP="003A782C">
      <w:pPr>
        <w:keepLines w:val="0"/>
        <w:spacing w:after="192"/>
        <w:ind w:left="720"/>
        <w:rPr>
          <w:rFonts w:ascii="Times New Roman" w:hAnsi="Times New Roman"/>
          <w:sz w:val="22"/>
          <w:szCs w:val="22"/>
        </w:rPr>
      </w:pPr>
      <w:r w:rsidRPr="001643AC">
        <w:rPr>
          <w:rFonts w:eastAsia="Arial" w:cs="Arial"/>
          <w:b/>
          <w:i/>
          <w:sz w:val="22"/>
          <w:szCs w:val="22"/>
        </w:rPr>
        <w:t>“CAUTION DO NOT USE: UNKNOWN SUBSTANCE”.</w:t>
      </w:r>
    </w:p>
    <w:p w14:paraId="61821918" w14:textId="77777777" w:rsidR="001643AC" w:rsidRPr="001643AC" w:rsidRDefault="00E9069F" w:rsidP="001643AC">
      <w:pPr>
        <w:rPr>
          <w:rFonts w:eastAsia="Arial"/>
          <w:sz w:val="23"/>
        </w:rPr>
      </w:pPr>
      <w:r w:rsidRPr="001643AC">
        <w:rPr>
          <w:rFonts w:eastAsia="Arial"/>
        </w:rPr>
        <w:t>The container shall be removed from use and the Chemical Waste Management Contractor contacted to arrange for its disposal</w:t>
      </w:r>
      <w:r w:rsidRPr="001643AC">
        <w:rPr>
          <w:rFonts w:eastAsia="Arial"/>
          <w:sz w:val="23"/>
        </w:rPr>
        <w:t>.</w:t>
      </w:r>
    </w:p>
    <w:p w14:paraId="61821919" w14:textId="0D6E0D4A" w:rsidR="003E319D" w:rsidRDefault="00E9069F" w:rsidP="003A782C">
      <w:pPr>
        <w:pStyle w:val="Heading1"/>
        <w:numPr>
          <w:ilvl w:val="0"/>
          <w:numId w:val="0"/>
        </w:numPr>
        <w:tabs>
          <w:tab w:val="clear" w:pos="851"/>
          <w:tab w:val="left" w:pos="426"/>
        </w:tabs>
      </w:pPr>
      <w:bookmarkStart w:id="115" w:name="_Toc19005529"/>
      <w:bookmarkStart w:id="116" w:name="_Toc101438976"/>
      <w:r>
        <w:t>10.</w:t>
      </w:r>
      <w:r w:rsidR="002B145B">
        <w:tab/>
      </w:r>
      <w:r>
        <w:t>Storage</w:t>
      </w:r>
      <w:bookmarkEnd w:id="115"/>
      <w:bookmarkEnd w:id="116"/>
    </w:p>
    <w:p w14:paraId="6182191A" w14:textId="77777777" w:rsidR="003E319D" w:rsidRDefault="00E9069F" w:rsidP="005E44A4">
      <w:pPr>
        <w:pStyle w:val="Heading2"/>
      </w:pPr>
      <w:bookmarkStart w:id="117" w:name="_Toc19005530"/>
      <w:bookmarkStart w:id="118" w:name="_Toc101438977"/>
      <w:r>
        <w:t>10.1</w:t>
      </w:r>
      <w:r w:rsidR="00D92E5E">
        <w:t xml:space="preserve">   </w:t>
      </w:r>
      <w:r>
        <w:t>Storage of Chemicals</w:t>
      </w:r>
      <w:bookmarkEnd w:id="117"/>
      <w:bookmarkEnd w:id="118"/>
    </w:p>
    <w:p w14:paraId="6182191B" w14:textId="441F46BE" w:rsidR="006935DA" w:rsidRDefault="00E9069F" w:rsidP="00E27BFA">
      <w:r>
        <w:t xml:space="preserve">Chemicals must be stored appropriately according to legislative requirements. Properties have produced </w:t>
      </w:r>
      <w:r w:rsidR="00760388">
        <w:t xml:space="preserve">the </w:t>
      </w:r>
      <w:hyperlink r:id="rId46" w:history="1">
        <w:r w:rsidR="00760388" w:rsidRPr="00760388">
          <w:rPr>
            <w:rStyle w:val="Hyperlink"/>
          </w:rPr>
          <w:t>Guidance for the Storage of Chemicals</w:t>
        </w:r>
      </w:hyperlink>
      <w:r w:rsidR="00760388">
        <w:t xml:space="preserve"> </w:t>
      </w:r>
      <w:r>
        <w:t>to cover the design, construction and use of chemical stores and storage. The management aspects of this document have been incorporated into this section.</w:t>
      </w:r>
      <w:r w:rsidR="000E178D">
        <w:t xml:space="preserve"> Storage of gas cylinders should comply with </w:t>
      </w:r>
      <w:hyperlink r:id="rId47" w:tgtFrame="_blank" w:history="1">
        <w:r w:rsidR="00760388">
          <w:rPr>
            <w:rStyle w:val="Hyperlink"/>
            <w:rFonts w:cs="Arial"/>
            <w:color w:val="334E87"/>
            <w:bdr w:val="none" w:sz="0" w:space="0" w:color="auto" w:frame="1"/>
            <w:shd w:val="clear" w:color="auto" w:fill="FFFFFF"/>
          </w:rPr>
          <w:t>Guidance for Gas Management and Gas Store Design</w:t>
        </w:r>
      </w:hyperlink>
      <w:r w:rsidR="000E178D" w:rsidRPr="0032625C">
        <w:t>.</w:t>
      </w:r>
      <w:r w:rsidR="0032625C">
        <w:t xml:space="preserve"> </w:t>
      </w:r>
    </w:p>
    <w:p w14:paraId="6182191C" w14:textId="77777777" w:rsidR="003E319D" w:rsidRDefault="00E9069F" w:rsidP="005E44A4">
      <w:pPr>
        <w:pStyle w:val="Heading2"/>
      </w:pPr>
      <w:bookmarkStart w:id="119" w:name="_Toc19005531"/>
      <w:bookmarkStart w:id="120" w:name="_Toc101438978"/>
      <w:r>
        <w:t>10.2</w:t>
      </w:r>
      <w:r w:rsidR="00D92E5E">
        <w:t xml:space="preserve">   </w:t>
      </w:r>
      <w:r>
        <w:t>Storage Requirements</w:t>
      </w:r>
      <w:bookmarkEnd w:id="119"/>
      <w:bookmarkEnd w:id="120"/>
    </w:p>
    <w:p w14:paraId="6182191D" w14:textId="7EE9AD27" w:rsidR="00CB178D" w:rsidRDefault="00E9069F" w:rsidP="00B9065A">
      <w:pPr>
        <w:pStyle w:val="Heading3"/>
        <w:ind w:left="851" w:hanging="851"/>
      </w:pPr>
      <w:bookmarkStart w:id="121" w:name="_Toc19005532"/>
      <w:r>
        <w:t>10.2.1</w:t>
      </w:r>
      <w:r w:rsidR="00D92E5E">
        <w:t xml:space="preserve">   S</w:t>
      </w:r>
      <w:r>
        <w:t>torage principles</w:t>
      </w:r>
      <w:bookmarkEnd w:id="121"/>
    </w:p>
    <w:p w14:paraId="6182191E" w14:textId="77777777" w:rsidR="00CB178D" w:rsidRPr="00CB178D" w:rsidRDefault="00E9069F" w:rsidP="00CB178D">
      <w:pPr>
        <w:rPr>
          <w:lang w:eastAsia="en-US"/>
        </w:rPr>
      </w:pPr>
      <w:r>
        <w:rPr>
          <w:lang w:eastAsia="en-US"/>
        </w:rPr>
        <w:t>The following general principles apply to the storage of chemicals.</w:t>
      </w:r>
    </w:p>
    <w:p w14:paraId="6182191F" w14:textId="77777777" w:rsidR="00CB178D" w:rsidRPr="00CB178D" w:rsidRDefault="00E9069F" w:rsidP="0032625C">
      <w:pPr>
        <w:pStyle w:val="Bullet1"/>
        <w:spacing w:line="276" w:lineRule="auto"/>
      </w:pPr>
      <w:r w:rsidRPr="00CB178D">
        <w:t>The quantities of hazardous chemicals stored shall be kept to a minimum, commensurate with their usage and shelf life. Some chemicals degrade in storage and can become more hazardous. Such chemicals shall be identified and managed appropriately.</w:t>
      </w:r>
    </w:p>
    <w:p w14:paraId="61821920" w14:textId="77777777" w:rsidR="00CB178D" w:rsidRPr="00CB178D" w:rsidRDefault="00E9069F" w:rsidP="0032625C">
      <w:pPr>
        <w:pStyle w:val="Bullet1"/>
        <w:spacing w:line="276" w:lineRule="auto"/>
      </w:pPr>
      <w:r w:rsidRPr="00CB178D">
        <w:t xml:space="preserve">Containers that have held hazardous chemicals shall be treated as </w:t>
      </w:r>
      <w:proofErr w:type="gramStart"/>
      <w:r w:rsidRPr="00CB178D">
        <w:t>full, unless</w:t>
      </w:r>
      <w:proofErr w:type="gramEnd"/>
      <w:r w:rsidRPr="00CB178D">
        <w:t xml:space="preserve"> the receptacle or package has been rendered free from hazardous chemicals.</w:t>
      </w:r>
    </w:p>
    <w:p w14:paraId="61821921" w14:textId="77777777" w:rsidR="00CB178D" w:rsidRPr="00CB178D" w:rsidRDefault="00E9069F" w:rsidP="0032625C">
      <w:pPr>
        <w:pStyle w:val="Bullet1"/>
        <w:spacing w:line="276" w:lineRule="auto"/>
      </w:pPr>
      <w:r w:rsidRPr="00CB178D">
        <w:t xml:space="preserve">Storage of chemicals, including wastes, shall be based on the properties and mutual </w:t>
      </w:r>
      <w:r w:rsidR="0032625C" w:rsidRPr="00CB178D">
        <w:t>reactivity’s</w:t>
      </w:r>
      <w:r w:rsidRPr="00CB178D">
        <w:t xml:space="preserve"> of the chemicals. Incompatible chemicals shall be kept segregated from one another, </w:t>
      </w:r>
      <w:proofErr w:type="gramStart"/>
      <w:r w:rsidRPr="00CB178D">
        <w:t>e.g.</w:t>
      </w:r>
      <w:proofErr w:type="gramEnd"/>
      <w:r w:rsidRPr="00CB178D">
        <w:t xml:space="preserve"> by fire isolation in a chemical storage cabinet or segregation in space. A separate spill catchment shall be provided for each incompatible liquid.</w:t>
      </w:r>
      <w:r w:rsidR="00996CBB">
        <w:t xml:space="preserve"> </w:t>
      </w:r>
      <w:r w:rsidR="00996CBB" w:rsidRPr="003A782C">
        <w:t>Do not simply store chemicals in alphabetical order.</w:t>
      </w:r>
    </w:p>
    <w:p w14:paraId="61821922" w14:textId="77777777" w:rsidR="00CB178D" w:rsidRPr="00CB178D" w:rsidRDefault="00E9069F" w:rsidP="0032625C">
      <w:pPr>
        <w:pStyle w:val="Bullet1"/>
        <w:spacing w:line="276" w:lineRule="auto"/>
      </w:pPr>
      <w:r w:rsidRPr="00CB178D">
        <w:t xml:space="preserve">Opening of packages, transferring of contents, dispensing of </w:t>
      </w:r>
      <w:proofErr w:type="gramStart"/>
      <w:r w:rsidRPr="00CB178D">
        <w:t>chemicals</w:t>
      </w:r>
      <w:proofErr w:type="gramEnd"/>
      <w:r w:rsidRPr="00CB178D">
        <w:t xml:space="preserve"> or sampling shall not be conducted in or on top of a cabinet or a cupboard for storing hazardous chemicals unless it is specifically designed for this purpose and appropriate procedures and equipment are used.</w:t>
      </w:r>
    </w:p>
    <w:p w14:paraId="61821923" w14:textId="6B056F11" w:rsidR="00CB178D" w:rsidRPr="00CB178D" w:rsidRDefault="00E9069F" w:rsidP="0032625C">
      <w:pPr>
        <w:pStyle w:val="Bullet1"/>
        <w:spacing w:line="276" w:lineRule="auto"/>
      </w:pPr>
      <w:r w:rsidRPr="00CB178D">
        <w:t>Provision shall be made for the receiving and dispatch of materials and the inspection of packages for damage.</w:t>
      </w:r>
    </w:p>
    <w:p w14:paraId="61821924" w14:textId="4A82E17A" w:rsidR="00CB178D" w:rsidRPr="00CB178D" w:rsidRDefault="00E9069F" w:rsidP="0032625C">
      <w:pPr>
        <w:pStyle w:val="Bullet1"/>
        <w:spacing w:line="276" w:lineRule="auto"/>
      </w:pPr>
      <w:r w:rsidRPr="00CB178D">
        <w:t>Packages shall be inspected regularly to ensure their integrity. Leaking or damaged packages shall be removed to a safe area for repacking or disposal. Labels shall be reattached or replaced as necessary, to clearly identify the contents of the package.</w:t>
      </w:r>
    </w:p>
    <w:p w14:paraId="61821925" w14:textId="77777777" w:rsidR="00CB178D" w:rsidRPr="00CB178D" w:rsidRDefault="00E9069F" w:rsidP="0032625C">
      <w:pPr>
        <w:pStyle w:val="Bullet1"/>
        <w:spacing w:line="276" w:lineRule="auto"/>
      </w:pPr>
      <w:r w:rsidRPr="00CB178D">
        <w:t>Procedures shall be established to deal with clean up and safe disposal of spillages. Supplies and materials needed to control the spillages shall be readily accessible.</w:t>
      </w:r>
    </w:p>
    <w:p w14:paraId="61821926" w14:textId="77777777" w:rsidR="00CB178D" w:rsidRPr="00CB178D" w:rsidRDefault="00E9069F" w:rsidP="0032625C">
      <w:pPr>
        <w:pStyle w:val="Bullet1"/>
        <w:spacing w:line="276" w:lineRule="auto"/>
      </w:pPr>
      <w:r w:rsidRPr="00CB178D">
        <w:lastRenderedPageBreak/>
        <w:t xml:space="preserve">Substances which are unstable at ambient temperature shall be kept in a controlled temperature environment set to maintain an appropriate temperature range. Reliable alternative safety measures shall be provided for situations when utilities, such as power, fail. Substances that can present additional hazards on heating shall be clearly identified. </w:t>
      </w:r>
    </w:p>
    <w:p w14:paraId="61821927" w14:textId="77777777" w:rsidR="00CB178D" w:rsidRDefault="00E9069F" w:rsidP="0032625C">
      <w:pPr>
        <w:pStyle w:val="Bullet1"/>
        <w:spacing w:line="276" w:lineRule="auto"/>
      </w:pPr>
      <w:r w:rsidRPr="00CB178D">
        <w:t>Sunlight can affect some plastic containers or the chemical contents. Containers or chemicals that can be affected shall not be stored in a laboratory where they can be exposed to direct sunlight if there is potential for the sunlight to create a safety hazard. If the stability of the chemical can be affected without creating a safety hazard, procedures shall be in place to ensure the chemical is assessed prior to use.</w:t>
      </w:r>
    </w:p>
    <w:p w14:paraId="61821928" w14:textId="77777777" w:rsidR="00743DB7" w:rsidRDefault="00E9069F" w:rsidP="0032625C">
      <w:pPr>
        <w:pStyle w:val="Bullet1"/>
      </w:pPr>
      <w:r>
        <w:t xml:space="preserve">Substances subject to additional regulation may stipulate additional storage requirements. </w:t>
      </w:r>
    </w:p>
    <w:p w14:paraId="61821929" w14:textId="77777777" w:rsidR="00C855AE" w:rsidRDefault="00E9069F">
      <w:pPr>
        <w:pStyle w:val="Bullet1"/>
      </w:pPr>
      <w:r w:rsidRPr="00C855AE">
        <w:t xml:space="preserve">Store heavy containers or packages of chemicals between knee and shoulder </w:t>
      </w:r>
      <w:proofErr w:type="gramStart"/>
      <w:r w:rsidRPr="00C855AE">
        <w:t>height;</w:t>
      </w:r>
      <w:proofErr w:type="gramEnd"/>
    </w:p>
    <w:p w14:paraId="6182192B" w14:textId="77777777" w:rsidR="003E319D" w:rsidRDefault="00E9069F" w:rsidP="005E44A4">
      <w:pPr>
        <w:pStyle w:val="Heading2"/>
      </w:pPr>
      <w:bookmarkStart w:id="122" w:name="_Toc19005533"/>
      <w:bookmarkStart w:id="123" w:name="_Toc101438979"/>
      <w:r>
        <w:t>10.3</w:t>
      </w:r>
      <w:r w:rsidR="00D92E5E">
        <w:t xml:space="preserve">   </w:t>
      </w:r>
      <w:r>
        <w:t>Segregation &amp; Incompatibility of Chemicals</w:t>
      </w:r>
      <w:bookmarkEnd w:id="122"/>
      <w:bookmarkEnd w:id="123"/>
    </w:p>
    <w:p w14:paraId="6182192C" w14:textId="77777777" w:rsidR="00D92E5E" w:rsidRDefault="00D92E5E" w:rsidP="00D92E5E">
      <w:pPr>
        <w:spacing w:before="0" w:line="276" w:lineRule="auto"/>
      </w:pPr>
    </w:p>
    <w:p w14:paraId="6182192D" w14:textId="03F94227" w:rsidR="0032625C" w:rsidRPr="00D92E5E" w:rsidRDefault="00E9069F" w:rsidP="00D92E5E">
      <w:pPr>
        <w:spacing w:before="0" w:line="276" w:lineRule="auto"/>
      </w:pPr>
      <w:r>
        <w:t xml:space="preserve">When </w:t>
      </w:r>
      <w:r w:rsidR="00256DA7">
        <w:t>storing chemicals</w:t>
      </w:r>
      <w:r w:rsidR="00E6521D">
        <w:t>,</w:t>
      </w:r>
      <w:r>
        <w:t xml:space="preserve"> it is imperative to consider storage compatibility for chemicals </w:t>
      </w:r>
      <w:r w:rsidR="00794365">
        <w:t xml:space="preserve">of </w:t>
      </w:r>
      <w:r>
        <w:t>different dangerous goods classes. Chemicals may need to be isolated or separated by sufficient distance to eliminate the risk of fire, explosion, or accumulation of toxic gases or vapours from a leak or spillage etc. The principal source of guidance regarding conditions for safe storage and compatibility is the</w:t>
      </w:r>
      <w:r w:rsidR="00256DA7">
        <w:t xml:space="preserve"> SDS for the relevant chemicals. </w:t>
      </w:r>
      <w:r w:rsidR="00256DA7" w:rsidRPr="00256DA7">
        <w:t xml:space="preserve">Information on compatibilities should be identified within the SDS. </w:t>
      </w:r>
      <w:r w:rsidR="00E50582" w:rsidRPr="0032625C">
        <w:t xml:space="preserve">Table </w:t>
      </w:r>
      <w:r w:rsidR="00516C9C">
        <w:t>4</w:t>
      </w:r>
      <w:r w:rsidR="00516C9C" w:rsidRPr="00256DA7">
        <w:t xml:space="preserve"> </w:t>
      </w:r>
      <w:r w:rsidR="00256DA7" w:rsidRPr="00256DA7">
        <w:t>provides some guidance as to compatibility between the classes of dangerous goods.</w:t>
      </w:r>
    </w:p>
    <w:p w14:paraId="61821931" w14:textId="77777777" w:rsidR="00794365" w:rsidRDefault="00E9069F" w:rsidP="00794365">
      <w:bookmarkStart w:id="124" w:name="_Toc18574529"/>
      <w:r>
        <w:t>ChemAlert also has an incompatibility reporting function that can assist in the identification of incompatible chemicals based on DG class. Additional chemical specific incompatibilities will also need to be considered.</w:t>
      </w:r>
    </w:p>
    <w:p w14:paraId="61821932" w14:textId="77777777" w:rsidR="00794365" w:rsidRDefault="00E9069F" w:rsidP="00794365">
      <w:pPr>
        <w:keepLines w:val="0"/>
        <w:spacing w:before="0"/>
        <w:jc w:val="left"/>
        <w:rPr>
          <w:rFonts w:eastAsia="Calibri" w:cs="Calibri"/>
          <w:b/>
          <w:bCs/>
          <w:sz w:val="18"/>
          <w:szCs w:val="18"/>
        </w:rPr>
      </w:pPr>
      <w:r>
        <w:rPr>
          <w:rFonts w:eastAsia="Calibri" w:cs="Calibri"/>
          <w:b/>
          <w:bCs/>
          <w:sz w:val="18"/>
          <w:szCs w:val="18"/>
        </w:rPr>
        <w:t xml:space="preserve"> </w:t>
      </w:r>
      <w:r>
        <w:rPr>
          <w:rFonts w:eastAsia="Calibri" w:cs="Calibri"/>
          <w:b/>
          <w:bCs/>
          <w:sz w:val="18"/>
          <w:szCs w:val="18"/>
        </w:rPr>
        <w:br w:type="page"/>
      </w:r>
    </w:p>
    <w:p w14:paraId="61821933" w14:textId="13E47D43" w:rsidR="00256DA7" w:rsidRPr="007C0D3C" w:rsidRDefault="00E9069F" w:rsidP="0032625C">
      <w:pPr>
        <w:tabs>
          <w:tab w:val="left" w:pos="992"/>
        </w:tabs>
        <w:spacing w:before="0" w:after="120"/>
        <w:ind w:left="992" w:hanging="992"/>
        <w:rPr>
          <w:rFonts w:eastAsia="Calibri" w:cs="Calibri"/>
          <w:b/>
          <w:bCs/>
          <w:sz w:val="18"/>
          <w:szCs w:val="18"/>
        </w:rPr>
      </w:pPr>
      <w:bookmarkStart w:id="125" w:name="_Toc99619991"/>
      <w:r w:rsidRPr="0032625C">
        <w:rPr>
          <w:rFonts w:eastAsia="Calibri" w:cs="Calibri"/>
          <w:b/>
          <w:bCs/>
          <w:sz w:val="18"/>
          <w:szCs w:val="18"/>
        </w:rPr>
        <w:lastRenderedPageBreak/>
        <w:t>Table </w:t>
      </w:r>
      <w:r w:rsidR="0066456F" w:rsidRPr="007625FF">
        <w:rPr>
          <w:rFonts w:eastAsia="Calibri" w:cs="Calibri"/>
          <w:b/>
          <w:bCs/>
          <w:sz w:val="18"/>
          <w:szCs w:val="18"/>
          <w:lang w:val="en-US" w:eastAsia="en-US"/>
        </w:rPr>
        <w:fldChar w:fldCharType="begin"/>
      </w:r>
      <w:r w:rsidR="0066456F" w:rsidRPr="003A782C">
        <w:rPr>
          <w:rFonts w:eastAsia="Calibri" w:cs="Calibri"/>
          <w:b/>
          <w:bCs/>
          <w:sz w:val="18"/>
          <w:szCs w:val="18"/>
        </w:rPr>
        <w:instrText xml:space="preserve"> SEQ Table \* ARABIC </w:instrText>
      </w:r>
      <w:r w:rsidR="0066456F" w:rsidRPr="007625FF">
        <w:rPr>
          <w:rFonts w:eastAsia="Calibri" w:cs="Calibri"/>
          <w:b/>
          <w:bCs/>
          <w:sz w:val="18"/>
          <w:szCs w:val="18"/>
          <w:lang w:val="en-US" w:eastAsia="en-US"/>
        </w:rPr>
        <w:fldChar w:fldCharType="separate"/>
      </w:r>
      <w:r w:rsidR="00BC0589">
        <w:rPr>
          <w:rFonts w:eastAsia="Calibri" w:cs="Calibri"/>
          <w:b/>
          <w:bCs/>
          <w:noProof/>
          <w:sz w:val="18"/>
          <w:szCs w:val="18"/>
        </w:rPr>
        <w:t>4</w:t>
      </w:r>
      <w:r w:rsidR="0066456F" w:rsidRPr="007625FF">
        <w:rPr>
          <w:rFonts w:eastAsia="Calibri" w:cs="Calibri"/>
          <w:b/>
          <w:bCs/>
          <w:sz w:val="18"/>
          <w:szCs w:val="18"/>
          <w:lang w:val="en-US" w:eastAsia="en-US"/>
        </w:rPr>
        <w:fldChar w:fldCharType="end"/>
      </w:r>
      <w:r w:rsidR="00D92E5E">
        <w:rPr>
          <w:rFonts w:eastAsia="Calibri" w:cs="Calibri"/>
          <w:b/>
          <w:bCs/>
          <w:sz w:val="18"/>
          <w:szCs w:val="18"/>
        </w:rPr>
        <w:t>: G</w:t>
      </w:r>
      <w:r w:rsidRPr="007C0D3C">
        <w:rPr>
          <w:rFonts w:eastAsia="Calibri" w:cs="Calibri"/>
          <w:b/>
          <w:bCs/>
          <w:sz w:val="18"/>
          <w:szCs w:val="18"/>
        </w:rPr>
        <w:t>uidance to compatibility between classes of dangerous goods</w:t>
      </w:r>
      <w:bookmarkEnd w:id="124"/>
      <w:bookmarkEnd w:id="125"/>
    </w:p>
    <w:tbl>
      <w:tblPr>
        <w:tblStyle w:val="TableGrid"/>
        <w:tblW w:w="928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95"/>
        <w:gridCol w:w="2949"/>
        <w:gridCol w:w="505"/>
        <w:gridCol w:w="505"/>
        <w:gridCol w:w="506"/>
        <w:gridCol w:w="430"/>
        <w:gridCol w:w="506"/>
        <w:gridCol w:w="506"/>
        <w:gridCol w:w="506"/>
        <w:gridCol w:w="506"/>
        <w:gridCol w:w="506"/>
        <w:gridCol w:w="506"/>
        <w:gridCol w:w="430"/>
        <w:gridCol w:w="430"/>
      </w:tblGrid>
      <w:tr w:rsidR="003A782C" w14:paraId="61821941" w14:textId="77777777" w:rsidTr="003A782C">
        <w:trPr>
          <w:trHeight w:val="425"/>
          <w:tblHeader/>
        </w:trPr>
        <w:tc>
          <w:tcPr>
            <w:tcW w:w="3444" w:type="dxa"/>
            <w:gridSpan w:val="2"/>
            <w:shd w:val="clear" w:color="auto" w:fill="E0AC1A"/>
            <w:vAlign w:val="center"/>
          </w:tcPr>
          <w:p w14:paraId="61821934" w14:textId="77777777" w:rsidR="00256DA7" w:rsidRPr="007C0D3C" w:rsidRDefault="00E9069F" w:rsidP="003A782C">
            <w:pPr>
              <w:spacing w:before="0"/>
              <w:jc w:val="center"/>
              <w:rPr>
                <w:b/>
              </w:rPr>
            </w:pPr>
            <w:r w:rsidRPr="007C0D3C">
              <w:rPr>
                <w:b/>
              </w:rPr>
              <w:t>Class / Division</w:t>
            </w:r>
          </w:p>
        </w:tc>
        <w:tc>
          <w:tcPr>
            <w:tcW w:w="505" w:type="dxa"/>
            <w:shd w:val="clear" w:color="auto" w:fill="E0AC1A"/>
            <w:vAlign w:val="center"/>
          </w:tcPr>
          <w:p w14:paraId="61821935" w14:textId="77777777" w:rsidR="00256DA7" w:rsidRPr="007C0D3C" w:rsidRDefault="00E9069F" w:rsidP="003A782C">
            <w:pPr>
              <w:spacing w:before="0"/>
              <w:jc w:val="center"/>
              <w:rPr>
                <w:b/>
              </w:rPr>
            </w:pPr>
            <w:r w:rsidRPr="007C0D3C">
              <w:rPr>
                <w:b/>
              </w:rPr>
              <w:t>2.1</w:t>
            </w:r>
          </w:p>
        </w:tc>
        <w:tc>
          <w:tcPr>
            <w:tcW w:w="505" w:type="dxa"/>
            <w:shd w:val="clear" w:color="auto" w:fill="E0AC1A"/>
            <w:vAlign w:val="center"/>
          </w:tcPr>
          <w:p w14:paraId="61821936" w14:textId="77777777" w:rsidR="00256DA7" w:rsidRPr="007C0D3C" w:rsidRDefault="00E9069F" w:rsidP="003A782C">
            <w:pPr>
              <w:spacing w:before="0"/>
              <w:jc w:val="center"/>
              <w:rPr>
                <w:b/>
              </w:rPr>
            </w:pPr>
            <w:r w:rsidRPr="007C0D3C">
              <w:rPr>
                <w:b/>
              </w:rPr>
              <w:t>2.2</w:t>
            </w:r>
          </w:p>
        </w:tc>
        <w:tc>
          <w:tcPr>
            <w:tcW w:w="506" w:type="dxa"/>
            <w:shd w:val="clear" w:color="auto" w:fill="E0AC1A"/>
            <w:vAlign w:val="center"/>
          </w:tcPr>
          <w:p w14:paraId="61821937" w14:textId="77777777" w:rsidR="00256DA7" w:rsidRPr="007C0D3C" w:rsidRDefault="00E9069F" w:rsidP="003A782C">
            <w:pPr>
              <w:spacing w:before="0"/>
              <w:jc w:val="center"/>
              <w:rPr>
                <w:b/>
              </w:rPr>
            </w:pPr>
            <w:r w:rsidRPr="007C0D3C">
              <w:rPr>
                <w:b/>
              </w:rPr>
              <w:t>2.3</w:t>
            </w:r>
          </w:p>
        </w:tc>
        <w:tc>
          <w:tcPr>
            <w:tcW w:w="430" w:type="dxa"/>
            <w:shd w:val="clear" w:color="auto" w:fill="E0AC1A"/>
            <w:vAlign w:val="center"/>
          </w:tcPr>
          <w:p w14:paraId="61821938" w14:textId="77777777" w:rsidR="00256DA7" w:rsidRPr="007C0D3C" w:rsidRDefault="00E9069F" w:rsidP="003A782C">
            <w:pPr>
              <w:spacing w:before="0"/>
              <w:jc w:val="center"/>
              <w:rPr>
                <w:b/>
              </w:rPr>
            </w:pPr>
            <w:r w:rsidRPr="007C0D3C">
              <w:rPr>
                <w:b/>
              </w:rPr>
              <w:t>3</w:t>
            </w:r>
          </w:p>
        </w:tc>
        <w:tc>
          <w:tcPr>
            <w:tcW w:w="506" w:type="dxa"/>
            <w:shd w:val="clear" w:color="auto" w:fill="E0AC1A"/>
            <w:vAlign w:val="center"/>
          </w:tcPr>
          <w:p w14:paraId="61821939" w14:textId="77777777" w:rsidR="00256DA7" w:rsidRPr="007C0D3C" w:rsidRDefault="00E9069F" w:rsidP="003A782C">
            <w:pPr>
              <w:spacing w:before="0"/>
              <w:jc w:val="center"/>
              <w:rPr>
                <w:b/>
              </w:rPr>
            </w:pPr>
            <w:r w:rsidRPr="007C0D3C">
              <w:rPr>
                <w:b/>
              </w:rPr>
              <w:t>4.1</w:t>
            </w:r>
          </w:p>
        </w:tc>
        <w:tc>
          <w:tcPr>
            <w:tcW w:w="506" w:type="dxa"/>
            <w:shd w:val="clear" w:color="auto" w:fill="E0AC1A"/>
            <w:vAlign w:val="center"/>
          </w:tcPr>
          <w:p w14:paraId="6182193A" w14:textId="77777777" w:rsidR="00256DA7" w:rsidRPr="007C0D3C" w:rsidRDefault="00E9069F" w:rsidP="003A782C">
            <w:pPr>
              <w:spacing w:before="0"/>
              <w:jc w:val="center"/>
              <w:rPr>
                <w:b/>
              </w:rPr>
            </w:pPr>
            <w:r w:rsidRPr="007C0D3C">
              <w:rPr>
                <w:b/>
              </w:rPr>
              <w:t>4.2</w:t>
            </w:r>
          </w:p>
        </w:tc>
        <w:tc>
          <w:tcPr>
            <w:tcW w:w="506" w:type="dxa"/>
            <w:shd w:val="clear" w:color="auto" w:fill="E0AC1A"/>
            <w:vAlign w:val="center"/>
          </w:tcPr>
          <w:p w14:paraId="6182193B" w14:textId="77777777" w:rsidR="00256DA7" w:rsidRPr="007C0D3C" w:rsidRDefault="00E9069F" w:rsidP="003A782C">
            <w:pPr>
              <w:spacing w:before="0"/>
              <w:jc w:val="center"/>
              <w:rPr>
                <w:b/>
              </w:rPr>
            </w:pPr>
            <w:r w:rsidRPr="007C0D3C">
              <w:rPr>
                <w:b/>
              </w:rPr>
              <w:t>4.3</w:t>
            </w:r>
          </w:p>
        </w:tc>
        <w:tc>
          <w:tcPr>
            <w:tcW w:w="506" w:type="dxa"/>
            <w:shd w:val="clear" w:color="auto" w:fill="E0AC1A"/>
            <w:vAlign w:val="center"/>
          </w:tcPr>
          <w:p w14:paraId="6182193C" w14:textId="77777777" w:rsidR="00256DA7" w:rsidRPr="007C0D3C" w:rsidRDefault="00E9069F" w:rsidP="003A782C">
            <w:pPr>
              <w:spacing w:before="0"/>
              <w:jc w:val="center"/>
              <w:rPr>
                <w:b/>
              </w:rPr>
            </w:pPr>
            <w:r w:rsidRPr="007C0D3C">
              <w:rPr>
                <w:b/>
              </w:rPr>
              <w:t>5.1</w:t>
            </w:r>
          </w:p>
        </w:tc>
        <w:tc>
          <w:tcPr>
            <w:tcW w:w="506" w:type="dxa"/>
            <w:shd w:val="clear" w:color="auto" w:fill="E0AC1A"/>
            <w:vAlign w:val="center"/>
          </w:tcPr>
          <w:p w14:paraId="6182193D" w14:textId="77777777" w:rsidR="00256DA7" w:rsidRPr="007C0D3C" w:rsidRDefault="00E9069F" w:rsidP="003A782C">
            <w:pPr>
              <w:spacing w:before="0"/>
              <w:jc w:val="center"/>
              <w:rPr>
                <w:b/>
              </w:rPr>
            </w:pPr>
            <w:r w:rsidRPr="007C0D3C">
              <w:rPr>
                <w:b/>
              </w:rPr>
              <w:t>5.2</w:t>
            </w:r>
          </w:p>
        </w:tc>
        <w:tc>
          <w:tcPr>
            <w:tcW w:w="506" w:type="dxa"/>
            <w:shd w:val="clear" w:color="auto" w:fill="E0AC1A"/>
            <w:vAlign w:val="center"/>
          </w:tcPr>
          <w:p w14:paraId="6182193E" w14:textId="77777777" w:rsidR="00256DA7" w:rsidRPr="007C0D3C" w:rsidRDefault="00E9069F" w:rsidP="003A782C">
            <w:pPr>
              <w:spacing w:before="0"/>
              <w:jc w:val="center"/>
              <w:rPr>
                <w:b/>
              </w:rPr>
            </w:pPr>
            <w:r w:rsidRPr="007C0D3C">
              <w:rPr>
                <w:b/>
              </w:rPr>
              <w:t>6.1</w:t>
            </w:r>
          </w:p>
        </w:tc>
        <w:tc>
          <w:tcPr>
            <w:tcW w:w="430" w:type="dxa"/>
            <w:shd w:val="clear" w:color="auto" w:fill="E0AC1A"/>
            <w:vAlign w:val="center"/>
          </w:tcPr>
          <w:p w14:paraId="6182193F" w14:textId="77777777" w:rsidR="00256DA7" w:rsidRPr="007C0D3C" w:rsidRDefault="00E9069F" w:rsidP="003A782C">
            <w:pPr>
              <w:spacing w:before="0"/>
              <w:jc w:val="center"/>
              <w:rPr>
                <w:b/>
              </w:rPr>
            </w:pPr>
            <w:r w:rsidRPr="007C0D3C">
              <w:rPr>
                <w:b/>
              </w:rPr>
              <w:t>8</w:t>
            </w:r>
          </w:p>
        </w:tc>
        <w:tc>
          <w:tcPr>
            <w:tcW w:w="430" w:type="dxa"/>
            <w:shd w:val="clear" w:color="auto" w:fill="E0AC1A"/>
            <w:vAlign w:val="center"/>
          </w:tcPr>
          <w:p w14:paraId="61821940" w14:textId="77777777" w:rsidR="00256DA7" w:rsidRPr="007C0D3C" w:rsidRDefault="00E9069F" w:rsidP="003A782C">
            <w:pPr>
              <w:spacing w:before="0"/>
              <w:jc w:val="center"/>
              <w:rPr>
                <w:b/>
              </w:rPr>
            </w:pPr>
            <w:r w:rsidRPr="007C0D3C">
              <w:rPr>
                <w:b/>
              </w:rPr>
              <w:t>9</w:t>
            </w:r>
          </w:p>
        </w:tc>
      </w:tr>
      <w:tr w:rsidR="003A782C" w14:paraId="61821950" w14:textId="77777777" w:rsidTr="003A782C">
        <w:trPr>
          <w:trHeight w:val="425"/>
        </w:trPr>
        <w:tc>
          <w:tcPr>
            <w:tcW w:w="491" w:type="dxa"/>
            <w:shd w:val="clear" w:color="auto" w:fill="D9D9D9" w:themeFill="background1" w:themeFillShade="D9"/>
            <w:vAlign w:val="center"/>
          </w:tcPr>
          <w:p w14:paraId="61821942" w14:textId="77777777" w:rsidR="00256DA7" w:rsidRPr="007C0D3C" w:rsidRDefault="00E9069F" w:rsidP="003A782C">
            <w:pPr>
              <w:spacing w:before="0"/>
              <w:rPr>
                <w:b/>
              </w:rPr>
            </w:pPr>
            <w:r w:rsidRPr="007C0D3C">
              <w:rPr>
                <w:b/>
              </w:rPr>
              <w:t>2.1</w:t>
            </w:r>
          </w:p>
        </w:tc>
        <w:tc>
          <w:tcPr>
            <w:tcW w:w="2953" w:type="dxa"/>
            <w:shd w:val="clear" w:color="auto" w:fill="D9D9D9" w:themeFill="background1" w:themeFillShade="D9"/>
            <w:vAlign w:val="center"/>
          </w:tcPr>
          <w:p w14:paraId="61821943" w14:textId="77777777" w:rsidR="00256DA7" w:rsidRPr="007C0D3C" w:rsidRDefault="00E9069F" w:rsidP="003A782C">
            <w:pPr>
              <w:spacing w:before="0"/>
              <w:jc w:val="left"/>
              <w:rPr>
                <w:b/>
              </w:rPr>
            </w:pPr>
            <w:r w:rsidRPr="007C0D3C">
              <w:rPr>
                <w:b/>
              </w:rPr>
              <w:t>Flammable Gas</w:t>
            </w:r>
          </w:p>
        </w:tc>
        <w:tc>
          <w:tcPr>
            <w:tcW w:w="505" w:type="dxa"/>
            <w:shd w:val="clear" w:color="auto" w:fill="D9D9D9" w:themeFill="background1" w:themeFillShade="D9"/>
            <w:vAlign w:val="center"/>
          </w:tcPr>
          <w:p w14:paraId="61821944" w14:textId="77777777" w:rsidR="00256DA7" w:rsidRPr="007C0D3C" w:rsidRDefault="00E9069F" w:rsidP="003A782C">
            <w:pPr>
              <w:spacing w:before="0"/>
              <w:jc w:val="center"/>
            </w:pPr>
            <w:r w:rsidRPr="007C0D3C">
              <w:t>A</w:t>
            </w:r>
          </w:p>
        </w:tc>
        <w:tc>
          <w:tcPr>
            <w:tcW w:w="505" w:type="dxa"/>
            <w:shd w:val="clear" w:color="auto" w:fill="D9D9D9" w:themeFill="background1" w:themeFillShade="D9"/>
            <w:vAlign w:val="center"/>
          </w:tcPr>
          <w:p w14:paraId="61821945" w14:textId="77777777" w:rsidR="00256DA7" w:rsidRPr="007C0D3C" w:rsidRDefault="00E9069F" w:rsidP="003A782C">
            <w:pPr>
              <w:spacing w:before="0"/>
              <w:jc w:val="center"/>
            </w:pPr>
            <w:r w:rsidRPr="007C0D3C">
              <w:t>E</w:t>
            </w:r>
          </w:p>
        </w:tc>
        <w:tc>
          <w:tcPr>
            <w:tcW w:w="506" w:type="dxa"/>
            <w:shd w:val="clear" w:color="auto" w:fill="D9D9D9" w:themeFill="background1" w:themeFillShade="D9"/>
            <w:vAlign w:val="center"/>
          </w:tcPr>
          <w:p w14:paraId="61821946" w14:textId="77777777" w:rsidR="00256DA7" w:rsidRPr="007C0D3C" w:rsidRDefault="00E9069F" w:rsidP="003A782C">
            <w:pPr>
              <w:spacing w:before="0"/>
              <w:jc w:val="center"/>
            </w:pPr>
            <w:r w:rsidRPr="007C0D3C">
              <w:t>C</w:t>
            </w:r>
          </w:p>
        </w:tc>
        <w:tc>
          <w:tcPr>
            <w:tcW w:w="430" w:type="dxa"/>
            <w:shd w:val="clear" w:color="auto" w:fill="D9D9D9" w:themeFill="background1" w:themeFillShade="D9"/>
            <w:vAlign w:val="center"/>
          </w:tcPr>
          <w:p w14:paraId="61821947" w14:textId="77777777" w:rsidR="00256DA7" w:rsidRPr="007C0D3C" w:rsidRDefault="00E9069F" w:rsidP="003A782C">
            <w:pPr>
              <w:spacing w:before="0"/>
              <w:jc w:val="center"/>
            </w:pPr>
            <w:r w:rsidRPr="007C0D3C">
              <w:t>B</w:t>
            </w:r>
          </w:p>
        </w:tc>
        <w:tc>
          <w:tcPr>
            <w:tcW w:w="506" w:type="dxa"/>
            <w:shd w:val="clear" w:color="auto" w:fill="D9D9D9" w:themeFill="background1" w:themeFillShade="D9"/>
            <w:vAlign w:val="center"/>
          </w:tcPr>
          <w:p w14:paraId="61821948" w14:textId="77777777" w:rsidR="00256DA7" w:rsidRPr="007C0D3C" w:rsidRDefault="00E9069F" w:rsidP="003A782C">
            <w:pPr>
              <w:spacing w:before="0"/>
              <w:jc w:val="center"/>
            </w:pPr>
            <w:r w:rsidRPr="007C0D3C">
              <w:t>B</w:t>
            </w:r>
          </w:p>
        </w:tc>
        <w:tc>
          <w:tcPr>
            <w:tcW w:w="506" w:type="dxa"/>
            <w:shd w:val="clear" w:color="auto" w:fill="D9D9D9" w:themeFill="background1" w:themeFillShade="D9"/>
            <w:vAlign w:val="center"/>
          </w:tcPr>
          <w:p w14:paraId="61821949" w14:textId="77777777" w:rsidR="00256DA7" w:rsidRPr="007C0D3C" w:rsidRDefault="00E9069F" w:rsidP="003A782C">
            <w:pPr>
              <w:spacing w:before="0"/>
              <w:jc w:val="center"/>
            </w:pPr>
            <w:r w:rsidRPr="007C0D3C">
              <w:t>D</w:t>
            </w:r>
          </w:p>
        </w:tc>
        <w:tc>
          <w:tcPr>
            <w:tcW w:w="506" w:type="dxa"/>
            <w:shd w:val="clear" w:color="auto" w:fill="D9D9D9" w:themeFill="background1" w:themeFillShade="D9"/>
            <w:vAlign w:val="center"/>
          </w:tcPr>
          <w:p w14:paraId="6182194A" w14:textId="77777777" w:rsidR="00256DA7" w:rsidRPr="007C0D3C" w:rsidRDefault="00E9069F" w:rsidP="003A782C">
            <w:pPr>
              <w:spacing w:before="0"/>
              <w:jc w:val="center"/>
            </w:pPr>
            <w:r w:rsidRPr="007C0D3C">
              <w:t>B</w:t>
            </w:r>
          </w:p>
        </w:tc>
        <w:tc>
          <w:tcPr>
            <w:tcW w:w="506" w:type="dxa"/>
            <w:shd w:val="clear" w:color="auto" w:fill="D9D9D9" w:themeFill="background1" w:themeFillShade="D9"/>
            <w:vAlign w:val="center"/>
          </w:tcPr>
          <w:p w14:paraId="6182194B" w14:textId="77777777" w:rsidR="00256DA7" w:rsidRPr="007C0D3C" w:rsidRDefault="00E9069F" w:rsidP="003A782C">
            <w:pPr>
              <w:spacing w:before="0"/>
              <w:jc w:val="center"/>
            </w:pPr>
            <w:r w:rsidRPr="007C0D3C">
              <w:t>D</w:t>
            </w:r>
          </w:p>
        </w:tc>
        <w:tc>
          <w:tcPr>
            <w:tcW w:w="506" w:type="dxa"/>
            <w:shd w:val="clear" w:color="auto" w:fill="D9D9D9" w:themeFill="background1" w:themeFillShade="D9"/>
            <w:vAlign w:val="center"/>
          </w:tcPr>
          <w:p w14:paraId="6182194C" w14:textId="77777777" w:rsidR="00256DA7" w:rsidRPr="007C0D3C" w:rsidRDefault="00E9069F" w:rsidP="003A782C">
            <w:pPr>
              <w:spacing w:before="0"/>
              <w:jc w:val="center"/>
            </w:pPr>
            <w:r w:rsidRPr="007C0D3C">
              <w:t>D</w:t>
            </w:r>
          </w:p>
        </w:tc>
        <w:tc>
          <w:tcPr>
            <w:tcW w:w="506" w:type="dxa"/>
            <w:shd w:val="clear" w:color="auto" w:fill="D9D9D9" w:themeFill="background1" w:themeFillShade="D9"/>
            <w:vAlign w:val="center"/>
          </w:tcPr>
          <w:p w14:paraId="6182194D" w14:textId="77777777" w:rsidR="00256DA7" w:rsidRPr="007C0D3C" w:rsidRDefault="00E9069F" w:rsidP="003A782C">
            <w:pPr>
              <w:spacing w:before="0"/>
              <w:jc w:val="center"/>
            </w:pPr>
            <w:r w:rsidRPr="007C0D3C">
              <w:t>C</w:t>
            </w:r>
          </w:p>
        </w:tc>
        <w:tc>
          <w:tcPr>
            <w:tcW w:w="430" w:type="dxa"/>
            <w:shd w:val="clear" w:color="auto" w:fill="D9D9D9" w:themeFill="background1" w:themeFillShade="D9"/>
            <w:vAlign w:val="center"/>
          </w:tcPr>
          <w:p w14:paraId="6182194E" w14:textId="77777777" w:rsidR="00256DA7" w:rsidRPr="007C0D3C" w:rsidRDefault="00E9069F" w:rsidP="003A782C">
            <w:pPr>
              <w:spacing w:before="0"/>
              <w:jc w:val="center"/>
            </w:pPr>
            <w:r w:rsidRPr="007C0D3C">
              <w:t>B</w:t>
            </w:r>
          </w:p>
        </w:tc>
        <w:tc>
          <w:tcPr>
            <w:tcW w:w="430" w:type="dxa"/>
            <w:shd w:val="clear" w:color="auto" w:fill="D9D9D9" w:themeFill="background1" w:themeFillShade="D9"/>
            <w:vAlign w:val="center"/>
          </w:tcPr>
          <w:p w14:paraId="6182194F" w14:textId="77777777" w:rsidR="00256DA7" w:rsidRPr="007C0D3C" w:rsidRDefault="00E9069F" w:rsidP="003A782C">
            <w:pPr>
              <w:spacing w:before="0"/>
              <w:jc w:val="center"/>
            </w:pPr>
            <w:r w:rsidRPr="007C0D3C">
              <w:t>B</w:t>
            </w:r>
          </w:p>
        </w:tc>
      </w:tr>
      <w:tr w:rsidR="003A782C" w14:paraId="6182195F" w14:textId="77777777" w:rsidTr="003A782C">
        <w:trPr>
          <w:trHeight w:val="425"/>
        </w:trPr>
        <w:tc>
          <w:tcPr>
            <w:tcW w:w="491" w:type="dxa"/>
            <w:shd w:val="clear" w:color="auto" w:fill="F2F2F2" w:themeFill="background1" w:themeFillShade="F2"/>
            <w:vAlign w:val="center"/>
          </w:tcPr>
          <w:p w14:paraId="61821951" w14:textId="77777777" w:rsidR="00256DA7" w:rsidRPr="007C0D3C" w:rsidRDefault="00E9069F" w:rsidP="003A782C">
            <w:pPr>
              <w:spacing w:before="0"/>
              <w:rPr>
                <w:b/>
              </w:rPr>
            </w:pPr>
            <w:r w:rsidRPr="007C0D3C">
              <w:rPr>
                <w:b/>
              </w:rPr>
              <w:t>2.2</w:t>
            </w:r>
          </w:p>
        </w:tc>
        <w:tc>
          <w:tcPr>
            <w:tcW w:w="2953" w:type="dxa"/>
            <w:shd w:val="clear" w:color="auto" w:fill="F2F2F2" w:themeFill="background1" w:themeFillShade="F2"/>
            <w:vAlign w:val="center"/>
          </w:tcPr>
          <w:p w14:paraId="61821952" w14:textId="77777777" w:rsidR="00256DA7" w:rsidRPr="007C0D3C" w:rsidRDefault="00E9069F" w:rsidP="003A782C">
            <w:pPr>
              <w:spacing w:before="0"/>
              <w:jc w:val="left"/>
              <w:rPr>
                <w:b/>
              </w:rPr>
            </w:pPr>
            <w:r w:rsidRPr="007C0D3C">
              <w:rPr>
                <w:b/>
              </w:rPr>
              <w:t>Non-flammable non-toxic gas</w:t>
            </w:r>
          </w:p>
        </w:tc>
        <w:tc>
          <w:tcPr>
            <w:tcW w:w="505" w:type="dxa"/>
            <w:shd w:val="clear" w:color="auto" w:fill="F2F2F2" w:themeFill="background1" w:themeFillShade="F2"/>
            <w:vAlign w:val="center"/>
          </w:tcPr>
          <w:p w14:paraId="61821953" w14:textId="77777777" w:rsidR="00256DA7" w:rsidRPr="007C0D3C" w:rsidRDefault="00E9069F" w:rsidP="003A782C">
            <w:pPr>
              <w:spacing w:before="0"/>
              <w:jc w:val="center"/>
            </w:pPr>
            <w:r w:rsidRPr="007C0D3C">
              <w:t>E</w:t>
            </w:r>
          </w:p>
        </w:tc>
        <w:tc>
          <w:tcPr>
            <w:tcW w:w="505" w:type="dxa"/>
            <w:shd w:val="clear" w:color="auto" w:fill="F2F2F2" w:themeFill="background1" w:themeFillShade="F2"/>
            <w:vAlign w:val="center"/>
          </w:tcPr>
          <w:p w14:paraId="61821954" w14:textId="77777777" w:rsidR="00256DA7" w:rsidRPr="007C0D3C" w:rsidRDefault="00E9069F" w:rsidP="003A782C">
            <w:pPr>
              <w:spacing w:before="0"/>
              <w:jc w:val="center"/>
            </w:pPr>
            <w:r w:rsidRPr="007C0D3C">
              <w:t>A</w:t>
            </w:r>
          </w:p>
        </w:tc>
        <w:tc>
          <w:tcPr>
            <w:tcW w:w="506" w:type="dxa"/>
            <w:shd w:val="clear" w:color="auto" w:fill="F2F2F2" w:themeFill="background1" w:themeFillShade="F2"/>
            <w:vAlign w:val="center"/>
          </w:tcPr>
          <w:p w14:paraId="61821955" w14:textId="77777777" w:rsidR="00256DA7" w:rsidRPr="007C0D3C" w:rsidRDefault="00E9069F" w:rsidP="003A782C">
            <w:pPr>
              <w:spacing w:before="0"/>
              <w:jc w:val="center"/>
            </w:pPr>
            <w:r w:rsidRPr="007C0D3C">
              <w:t>B</w:t>
            </w:r>
          </w:p>
        </w:tc>
        <w:tc>
          <w:tcPr>
            <w:tcW w:w="430" w:type="dxa"/>
            <w:shd w:val="clear" w:color="auto" w:fill="F2F2F2" w:themeFill="background1" w:themeFillShade="F2"/>
            <w:vAlign w:val="center"/>
          </w:tcPr>
          <w:p w14:paraId="61821956" w14:textId="77777777" w:rsidR="00256DA7" w:rsidRPr="007C0D3C" w:rsidRDefault="00E9069F" w:rsidP="003A782C">
            <w:pPr>
              <w:spacing w:before="0"/>
              <w:jc w:val="center"/>
            </w:pPr>
            <w:r w:rsidRPr="007C0D3C">
              <w:t>E</w:t>
            </w:r>
          </w:p>
        </w:tc>
        <w:tc>
          <w:tcPr>
            <w:tcW w:w="506" w:type="dxa"/>
            <w:shd w:val="clear" w:color="auto" w:fill="F2F2F2" w:themeFill="background1" w:themeFillShade="F2"/>
            <w:vAlign w:val="center"/>
          </w:tcPr>
          <w:p w14:paraId="61821957" w14:textId="77777777" w:rsidR="00256DA7" w:rsidRPr="007C0D3C" w:rsidRDefault="00E9069F" w:rsidP="003A782C">
            <w:pPr>
              <w:spacing w:before="0"/>
              <w:jc w:val="center"/>
            </w:pPr>
            <w:r w:rsidRPr="007C0D3C">
              <w:t>E</w:t>
            </w:r>
          </w:p>
        </w:tc>
        <w:tc>
          <w:tcPr>
            <w:tcW w:w="506" w:type="dxa"/>
            <w:shd w:val="clear" w:color="auto" w:fill="F2F2F2" w:themeFill="background1" w:themeFillShade="F2"/>
            <w:vAlign w:val="center"/>
          </w:tcPr>
          <w:p w14:paraId="61821958" w14:textId="77777777" w:rsidR="00256DA7" w:rsidRPr="007C0D3C" w:rsidRDefault="00E9069F" w:rsidP="003A782C">
            <w:pPr>
              <w:spacing w:before="0"/>
              <w:jc w:val="center"/>
            </w:pPr>
            <w:r w:rsidRPr="007C0D3C">
              <w:t>E</w:t>
            </w:r>
          </w:p>
        </w:tc>
        <w:tc>
          <w:tcPr>
            <w:tcW w:w="506" w:type="dxa"/>
            <w:shd w:val="clear" w:color="auto" w:fill="F2F2F2" w:themeFill="background1" w:themeFillShade="F2"/>
            <w:vAlign w:val="center"/>
          </w:tcPr>
          <w:p w14:paraId="61821959" w14:textId="77777777" w:rsidR="00256DA7" w:rsidRPr="007C0D3C" w:rsidRDefault="00E9069F" w:rsidP="003A782C">
            <w:pPr>
              <w:spacing w:before="0"/>
              <w:jc w:val="center"/>
            </w:pPr>
            <w:r w:rsidRPr="007C0D3C">
              <w:t>E</w:t>
            </w:r>
          </w:p>
        </w:tc>
        <w:tc>
          <w:tcPr>
            <w:tcW w:w="506" w:type="dxa"/>
            <w:shd w:val="clear" w:color="auto" w:fill="F2F2F2" w:themeFill="background1" w:themeFillShade="F2"/>
            <w:vAlign w:val="center"/>
          </w:tcPr>
          <w:p w14:paraId="6182195A" w14:textId="77777777" w:rsidR="00256DA7" w:rsidRPr="007C0D3C" w:rsidRDefault="00E9069F" w:rsidP="003A782C">
            <w:pPr>
              <w:spacing w:before="0"/>
              <w:jc w:val="center"/>
            </w:pPr>
            <w:r w:rsidRPr="007C0D3C">
              <w:t>B</w:t>
            </w:r>
          </w:p>
        </w:tc>
        <w:tc>
          <w:tcPr>
            <w:tcW w:w="506" w:type="dxa"/>
            <w:shd w:val="clear" w:color="auto" w:fill="F2F2F2" w:themeFill="background1" w:themeFillShade="F2"/>
            <w:vAlign w:val="center"/>
          </w:tcPr>
          <w:p w14:paraId="6182195B" w14:textId="77777777" w:rsidR="00256DA7" w:rsidRPr="007C0D3C" w:rsidRDefault="00E9069F" w:rsidP="003A782C">
            <w:pPr>
              <w:spacing w:before="0"/>
              <w:jc w:val="center"/>
            </w:pPr>
            <w:r w:rsidRPr="007C0D3C">
              <w:t>E</w:t>
            </w:r>
          </w:p>
        </w:tc>
        <w:tc>
          <w:tcPr>
            <w:tcW w:w="506" w:type="dxa"/>
            <w:shd w:val="clear" w:color="auto" w:fill="F2F2F2" w:themeFill="background1" w:themeFillShade="F2"/>
            <w:vAlign w:val="center"/>
          </w:tcPr>
          <w:p w14:paraId="6182195C" w14:textId="77777777" w:rsidR="00256DA7" w:rsidRPr="007C0D3C" w:rsidRDefault="00E9069F" w:rsidP="003A782C">
            <w:pPr>
              <w:spacing w:before="0"/>
              <w:jc w:val="center"/>
            </w:pPr>
            <w:r w:rsidRPr="007C0D3C">
              <w:t>B</w:t>
            </w:r>
          </w:p>
        </w:tc>
        <w:tc>
          <w:tcPr>
            <w:tcW w:w="430" w:type="dxa"/>
            <w:shd w:val="clear" w:color="auto" w:fill="F2F2F2" w:themeFill="background1" w:themeFillShade="F2"/>
            <w:vAlign w:val="center"/>
          </w:tcPr>
          <w:p w14:paraId="6182195D" w14:textId="77777777" w:rsidR="00256DA7" w:rsidRPr="007C0D3C" w:rsidRDefault="00E9069F" w:rsidP="003A782C">
            <w:pPr>
              <w:spacing w:before="0"/>
              <w:jc w:val="center"/>
            </w:pPr>
            <w:r w:rsidRPr="007C0D3C">
              <w:t>B</w:t>
            </w:r>
          </w:p>
        </w:tc>
        <w:tc>
          <w:tcPr>
            <w:tcW w:w="430" w:type="dxa"/>
            <w:shd w:val="clear" w:color="auto" w:fill="F2F2F2" w:themeFill="background1" w:themeFillShade="F2"/>
            <w:vAlign w:val="center"/>
          </w:tcPr>
          <w:p w14:paraId="6182195E" w14:textId="77777777" w:rsidR="00256DA7" w:rsidRPr="007C0D3C" w:rsidRDefault="00E9069F" w:rsidP="003A782C">
            <w:pPr>
              <w:spacing w:before="0"/>
              <w:jc w:val="center"/>
            </w:pPr>
            <w:r w:rsidRPr="007C0D3C">
              <w:t>B</w:t>
            </w:r>
          </w:p>
        </w:tc>
      </w:tr>
      <w:tr w:rsidR="003A782C" w14:paraId="6182196E" w14:textId="77777777" w:rsidTr="003A782C">
        <w:trPr>
          <w:trHeight w:val="425"/>
        </w:trPr>
        <w:tc>
          <w:tcPr>
            <w:tcW w:w="491" w:type="dxa"/>
            <w:shd w:val="clear" w:color="auto" w:fill="D9D9D9" w:themeFill="background1" w:themeFillShade="D9"/>
            <w:vAlign w:val="center"/>
          </w:tcPr>
          <w:p w14:paraId="61821960" w14:textId="77777777" w:rsidR="00256DA7" w:rsidRPr="007C0D3C" w:rsidRDefault="00E9069F" w:rsidP="003A782C">
            <w:pPr>
              <w:spacing w:before="0"/>
              <w:rPr>
                <w:b/>
              </w:rPr>
            </w:pPr>
            <w:r w:rsidRPr="007C0D3C">
              <w:rPr>
                <w:b/>
              </w:rPr>
              <w:t>2.3</w:t>
            </w:r>
          </w:p>
        </w:tc>
        <w:tc>
          <w:tcPr>
            <w:tcW w:w="2953" w:type="dxa"/>
            <w:shd w:val="clear" w:color="auto" w:fill="D9D9D9" w:themeFill="background1" w:themeFillShade="D9"/>
            <w:vAlign w:val="center"/>
          </w:tcPr>
          <w:p w14:paraId="61821961" w14:textId="77777777" w:rsidR="00256DA7" w:rsidRPr="007C0D3C" w:rsidRDefault="00E9069F" w:rsidP="003A782C">
            <w:pPr>
              <w:spacing w:before="0"/>
              <w:jc w:val="left"/>
              <w:rPr>
                <w:b/>
              </w:rPr>
            </w:pPr>
            <w:r w:rsidRPr="007C0D3C">
              <w:rPr>
                <w:b/>
              </w:rPr>
              <w:t>Toxic Gas</w:t>
            </w:r>
          </w:p>
        </w:tc>
        <w:tc>
          <w:tcPr>
            <w:tcW w:w="505" w:type="dxa"/>
            <w:shd w:val="clear" w:color="auto" w:fill="D9D9D9" w:themeFill="background1" w:themeFillShade="D9"/>
            <w:vAlign w:val="center"/>
          </w:tcPr>
          <w:p w14:paraId="61821962" w14:textId="77777777" w:rsidR="00256DA7" w:rsidRPr="007C0D3C" w:rsidRDefault="00E9069F" w:rsidP="003A782C">
            <w:pPr>
              <w:spacing w:before="0"/>
              <w:jc w:val="center"/>
            </w:pPr>
            <w:r w:rsidRPr="007C0D3C">
              <w:t>C</w:t>
            </w:r>
          </w:p>
        </w:tc>
        <w:tc>
          <w:tcPr>
            <w:tcW w:w="505" w:type="dxa"/>
            <w:shd w:val="clear" w:color="auto" w:fill="D9D9D9" w:themeFill="background1" w:themeFillShade="D9"/>
            <w:vAlign w:val="center"/>
          </w:tcPr>
          <w:p w14:paraId="61821963" w14:textId="77777777" w:rsidR="00256DA7" w:rsidRPr="007C0D3C" w:rsidRDefault="00E9069F" w:rsidP="003A782C">
            <w:pPr>
              <w:spacing w:before="0"/>
              <w:jc w:val="center"/>
            </w:pPr>
            <w:r w:rsidRPr="007C0D3C">
              <w:t>B</w:t>
            </w:r>
          </w:p>
        </w:tc>
        <w:tc>
          <w:tcPr>
            <w:tcW w:w="506" w:type="dxa"/>
            <w:shd w:val="clear" w:color="auto" w:fill="D9D9D9" w:themeFill="background1" w:themeFillShade="D9"/>
            <w:vAlign w:val="center"/>
          </w:tcPr>
          <w:p w14:paraId="61821964" w14:textId="77777777" w:rsidR="00256DA7" w:rsidRPr="007C0D3C" w:rsidRDefault="00E9069F" w:rsidP="003A782C">
            <w:pPr>
              <w:spacing w:before="0"/>
              <w:jc w:val="center"/>
            </w:pPr>
            <w:r w:rsidRPr="007C0D3C">
              <w:t>A</w:t>
            </w:r>
          </w:p>
        </w:tc>
        <w:tc>
          <w:tcPr>
            <w:tcW w:w="430" w:type="dxa"/>
            <w:shd w:val="clear" w:color="auto" w:fill="D9D9D9" w:themeFill="background1" w:themeFillShade="D9"/>
            <w:vAlign w:val="center"/>
          </w:tcPr>
          <w:p w14:paraId="61821965" w14:textId="77777777" w:rsidR="00256DA7" w:rsidRPr="007C0D3C" w:rsidRDefault="00E9069F" w:rsidP="003A782C">
            <w:pPr>
              <w:spacing w:before="0"/>
              <w:jc w:val="center"/>
            </w:pPr>
            <w:r w:rsidRPr="007C0D3C">
              <w:t>C</w:t>
            </w:r>
          </w:p>
        </w:tc>
        <w:tc>
          <w:tcPr>
            <w:tcW w:w="506" w:type="dxa"/>
            <w:shd w:val="clear" w:color="auto" w:fill="D9D9D9" w:themeFill="background1" w:themeFillShade="D9"/>
            <w:vAlign w:val="center"/>
          </w:tcPr>
          <w:p w14:paraId="61821966" w14:textId="77777777" w:rsidR="00256DA7" w:rsidRPr="007C0D3C" w:rsidRDefault="00E9069F" w:rsidP="003A782C">
            <w:pPr>
              <w:spacing w:before="0"/>
              <w:jc w:val="center"/>
            </w:pPr>
            <w:r w:rsidRPr="007C0D3C">
              <w:t>C</w:t>
            </w:r>
          </w:p>
        </w:tc>
        <w:tc>
          <w:tcPr>
            <w:tcW w:w="506" w:type="dxa"/>
            <w:shd w:val="clear" w:color="auto" w:fill="D9D9D9" w:themeFill="background1" w:themeFillShade="D9"/>
            <w:vAlign w:val="center"/>
          </w:tcPr>
          <w:p w14:paraId="61821967" w14:textId="77777777" w:rsidR="00256DA7" w:rsidRPr="007C0D3C" w:rsidRDefault="00E9069F" w:rsidP="003A782C">
            <w:pPr>
              <w:spacing w:before="0"/>
              <w:jc w:val="center"/>
            </w:pPr>
            <w:r w:rsidRPr="007C0D3C">
              <w:t>C</w:t>
            </w:r>
          </w:p>
        </w:tc>
        <w:tc>
          <w:tcPr>
            <w:tcW w:w="506" w:type="dxa"/>
            <w:shd w:val="clear" w:color="auto" w:fill="D9D9D9" w:themeFill="background1" w:themeFillShade="D9"/>
            <w:vAlign w:val="center"/>
          </w:tcPr>
          <w:p w14:paraId="61821968" w14:textId="77777777" w:rsidR="00256DA7" w:rsidRPr="007C0D3C" w:rsidRDefault="00E9069F" w:rsidP="003A782C">
            <w:pPr>
              <w:spacing w:before="0"/>
              <w:jc w:val="center"/>
            </w:pPr>
            <w:r w:rsidRPr="007C0D3C">
              <w:t>C</w:t>
            </w:r>
          </w:p>
        </w:tc>
        <w:tc>
          <w:tcPr>
            <w:tcW w:w="506" w:type="dxa"/>
            <w:shd w:val="clear" w:color="auto" w:fill="D9D9D9" w:themeFill="background1" w:themeFillShade="D9"/>
            <w:vAlign w:val="center"/>
          </w:tcPr>
          <w:p w14:paraId="61821969" w14:textId="77777777" w:rsidR="00256DA7" w:rsidRPr="007C0D3C" w:rsidRDefault="00E9069F" w:rsidP="003A782C">
            <w:pPr>
              <w:spacing w:before="0"/>
              <w:jc w:val="center"/>
            </w:pPr>
            <w:r w:rsidRPr="007C0D3C">
              <w:t>C</w:t>
            </w:r>
          </w:p>
        </w:tc>
        <w:tc>
          <w:tcPr>
            <w:tcW w:w="506" w:type="dxa"/>
            <w:shd w:val="clear" w:color="auto" w:fill="D9D9D9" w:themeFill="background1" w:themeFillShade="D9"/>
            <w:vAlign w:val="center"/>
          </w:tcPr>
          <w:p w14:paraId="6182196A" w14:textId="77777777" w:rsidR="00256DA7" w:rsidRPr="007C0D3C" w:rsidRDefault="00E9069F" w:rsidP="003A782C">
            <w:pPr>
              <w:spacing w:before="0"/>
              <w:jc w:val="center"/>
            </w:pPr>
            <w:r w:rsidRPr="007C0D3C">
              <w:t>C</w:t>
            </w:r>
          </w:p>
        </w:tc>
        <w:tc>
          <w:tcPr>
            <w:tcW w:w="506" w:type="dxa"/>
            <w:shd w:val="clear" w:color="auto" w:fill="D9D9D9" w:themeFill="background1" w:themeFillShade="D9"/>
            <w:vAlign w:val="center"/>
          </w:tcPr>
          <w:p w14:paraId="6182196B" w14:textId="77777777" w:rsidR="00256DA7" w:rsidRPr="007C0D3C" w:rsidRDefault="00E9069F" w:rsidP="003A782C">
            <w:pPr>
              <w:spacing w:before="0"/>
              <w:jc w:val="center"/>
            </w:pPr>
            <w:r w:rsidRPr="007C0D3C">
              <w:t>B</w:t>
            </w:r>
          </w:p>
        </w:tc>
        <w:tc>
          <w:tcPr>
            <w:tcW w:w="430" w:type="dxa"/>
            <w:shd w:val="clear" w:color="auto" w:fill="D9D9D9" w:themeFill="background1" w:themeFillShade="D9"/>
            <w:vAlign w:val="center"/>
          </w:tcPr>
          <w:p w14:paraId="6182196C" w14:textId="77777777" w:rsidR="00256DA7" w:rsidRPr="007C0D3C" w:rsidRDefault="00E9069F" w:rsidP="003A782C">
            <w:pPr>
              <w:spacing w:before="0"/>
              <w:jc w:val="center"/>
            </w:pPr>
            <w:r w:rsidRPr="007C0D3C">
              <w:t>B</w:t>
            </w:r>
          </w:p>
        </w:tc>
        <w:tc>
          <w:tcPr>
            <w:tcW w:w="430" w:type="dxa"/>
            <w:shd w:val="clear" w:color="auto" w:fill="D9D9D9" w:themeFill="background1" w:themeFillShade="D9"/>
            <w:vAlign w:val="center"/>
          </w:tcPr>
          <w:p w14:paraId="6182196D" w14:textId="77777777" w:rsidR="00256DA7" w:rsidRPr="007C0D3C" w:rsidRDefault="00E9069F" w:rsidP="003A782C">
            <w:pPr>
              <w:spacing w:before="0"/>
              <w:jc w:val="center"/>
            </w:pPr>
            <w:r w:rsidRPr="007C0D3C">
              <w:t>B</w:t>
            </w:r>
          </w:p>
        </w:tc>
      </w:tr>
      <w:tr w:rsidR="003A782C" w14:paraId="6182197D" w14:textId="77777777" w:rsidTr="003A782C">
        <w:trPr>
          <w:trHeight w:val="425"/>
        </w:trPr>
        <w:tc>
          <w:tcPr>
            <w:tcW w:w="491" w:type="dxa"/>
            <w:shd w:val="clear" w:color="auto" w:fill="F2F2F2" w:themeFill="background1" w:themeFillShade="F2"/>
            <w:vAlign w:val="center"/>
          </w:tcPr>
          <w:p w14:paraId="6182196F" w14:textId="77777777" w:rsidR="00256DA7" w:rsidRPr="007C0D3C" w:rsidRDefault="00E9069F" w:rsidP="003A782C">
            <w:pPr>
              <w:spacing w:before="0"/>
              <w:rPr>
                <w:b/>
              </w:rPr>
            </w:pPr>
            <w:r w:rsidRPr="007C0D3C">
              <w:rPr>
                <w:b/>
              </w:rPr>
              <w:t>3</w:t>
            </w:r>
          </w:p>
        </w:tc>
        <w:tc>
          <w:tcPr>
            <w:tcW w:w="2953" w:type="dxa"/>
            <w:shd w:val="clear" w:color="auto" w:fill="F2F2F2" w:themeFill="background1" w:themeFillShade="F2"/>
            <w:vAlign w:val="center"/>
          </w:tcPr>
          <w:p w14:paraId="61821970" w14:textId="77777777" w:rsidR="00256DA7" w:rsidRPr="007C0D3C" w:rsidRDefault="00E9069F" w:rsidP="003A782C">
            <w:pPr>
              <w:spacing w:before="0"/>
              <w:jc w:val="left"/>
              <w:rPr>
                <w:b/>
              </w:rPr>
            </w:pPr>
            <w:r w:rsidRPr="007C0D3C">
              <w:rPr>
                <w:b/>
              </w:rPr>
              <w:t>Flammable liquid</w:t>
            </w:r>
          </w:p>
        </w:tc>
        <w:tc>
          <w:tcPr>
            <w:tcW w:w="505" w:type="dxa"/>
            <w:shd w:val="clear" w:color="auto" w:fill="F2F2F2" w:themeFill="background1" w:themeFillShade="F2"/>
            <w:vAlign w:val="center"/>
          </w:tcPr>
          <w:p w14:paraId="61821971" w14:textId="77777777" w:rsidR="00256DA7" w:rsidRPr="007C0D3C" w:rsidRDefault="00E9069F" w:rsidP="003A782C">
            <w:pPr>
              <w:spacing w:before="0"/>
              <w:jc w:val="center"/>
            </w:pPr>
            <w:r w:rsidRPr="007C0D3C">
              <w:t>B</w:t>
            </w:r>
          </w:p>
        </w:tc>
        <w:tc>
          <w:tcPr>
            <w:tcW w:w="505" w:type="dxa"/>
            <w:shd w:val="clear" w:color="auto" w:fill="F2F2F2" w:themeFill="background1" w:themeFillShade="F2"/>
            <w:vAlign w:val="center"/>
          </w:tcPr>
          <w:p w14:paraId="61821972" w14:textId="77777777" w:rsidR="00256DA7" w:rsidRPr="007C0D3C" w:rsidRDefault="00E9069F" w:rsidP="003A782C">
            <w:pPr>
              <w:spacing w:before="0"/>
              <w:jc w:val="center"/>
            </w:pPr>
            <w:r w:rsidRPr="007C0D3C">
              <w:t>E</w:t>
            </w:r>
          </w:p>
        </w:tc>
        <w:tc>
          <w:tcPr>
            <w:tcW w:w="506" w:type="dxa"/>
            <w:shd w:val="clear" w:color="auto" w:fill="F2F2F2" w:themeFill="background1" w:themeFillShade="F2"/>
            <w:vAlign w:val="center"/>
          </w:tcPr>
          <w:p w14:paraId="61821973" w14:textId="77777777" w:rsidR="00256DA7" w:rsidRPr="007C0D3C" w:rsidRDefault="00E9069F" w:rsidP="003A782C">
            <w:pPr>
              <w:spacing w:before="0"/>
              <w:jc w:val="center"/>
            </w:pPr>
            <w:r w:rsidRPr="007C0D3C">
              <w:t>C</w:t>
            </w:r>
          </w:p>
        </w:tc>
        <w:tc>
          <w:tcPr>
            <w:tcW w:w="430" w:type="dxa"/>
            <w:shd w:val="clear" w:color="auto" w:fill="F2F2F2" w:themeFill="background1" w:themeFillShade="F2"/>
            <w:vAlign w:val="center"/>
          </w:tcPr>
          <w:p w14:paraId="61821974" w14:textId="77777777" w:rsidR="00256DA7" w:rsidRPr="007C0D3C" w:rsidRDefault="00E9069F" w:rsidP="003A782C">
            <w:pPr>
              <w:spacing w:before="0"/>
              <w:jc w:val="center"/>
            </w:pPr>
            <w:r w:rsidRPr="007C0D3C">
              <w:t>A</w:t>
            </w:r>
          </w:p>
        </w:tc>
        <w:tc>
          <w:tcPr>
            <w:tcW w:w="506" w:type="dxa"/>
            <w:shd w:val="clear" w:color="auto" w:fill="F2F2F2" w:themeFill="background1" w:themeFillShade="F2"/>
            <w:vAlign w:val="center"/>
          </w:tcPr>
          <w:p w14:paraId="61821975" w14:textId="77777777" w:rsidR="00256DA7" w:rsidRPr="007C0D3C" w:rsidRDefault="00E9069F" w:rsidP="003A782C">
            <w:pPr>
              <w:spacing w:before="0"/>
              <w:jc w:val="center"/>
            </w:pPr>
            <w:r w:rsidRPr="007C0D3C">
              <w:t>B</w:t>
            </w:r>
          </w:p>
        </w:tc>
        <w:tc>
          <w:tcPr>
            <w:tcW w:w="506" w:type="dxa"/>
            <w:shd w:val="clear" w:color="auto" w:fill="F2F2F2" w:themeFill="background1" w:themeFillShade="F2"/>
            <w:vAlign w:val="center"/>
          </w:tcPr>
          <w:p w14:paraId="61821976" w14:textId="77777777" w:rsidR="00256DA7" w:rsidRPr="007C0D3C" w:rsidRDefault="00E9069F" w:rsidP="003A782C">
            <w:pPr>
              <w:spacing w:before="0"/>
              <w:jc w:val="center"/>
            </w:pPr>
            <w:r w:rsidRPr="007C0D3C">
              <w:t>D</w:t>
            </w:r>
          </w:p>
        </w:tc>
        <w:tc>
          <w:tcPr>
            <w:tcW w:w="506" w:type="dxa"/>
            <w:shd w:val="clear" w:color="auto" w:fill="F2F2F2" w:themeFill="background1" w:themeFillShade="F2"/>
            <w:vAlign w:val="center"/>
          </w:tcPr>
          <w:p w14:paraId="61821977" w14:textId="77777777" w:rsidR="00256DA7" w:rsidRPr="007C0D3C" w:rsidRDefault="00E9069F" w:rsidP="003A782C">
            <w:pPr>
              <w:spacing w:before="0"/>
              <w:jc w:val="center"/>
            </w:pPr>
            <w:r w:rsidRPr="007C0D3C">
              <w:t>B</w:t>
            </w:r>
          </w:p>
        </w:tc>
        <w:tc>
          <w:tcPr>
            <w:tcW w:w="506" w:type="dxa"/>
            <w:shd w:val="clear" w:color="auto" w:fill="F2F2F2" w:themeFill="background1" w:themeFillShade="F2"/>
            <w:vAlign w:val="center"/>
          </w:tcPr>
          <w:p w14:paraId="61821978" w14:textId="77777777" w:rsidR="00256DA7" w:rsidRPr="007C0D3C" w:rsidRDefault="00E9069F" w:rsidP="003A782C">
            <w:pPr>
              <w:spacing w:before="0"/>
              <w:jc w:val="center"/>
            </w:pPr>
            <w:r w:rsidRPr="007C0D3C">
              <w:t>D</w:t>
            </w:r>
          </w:p>
        </w:tc>
        <w:tc>
          <w:tcPr>
            <w:tcW w:w="506" w:type="dxa"/>
            <w:shd w:val="clear" w:color="auto" w:fill="F2F2F2" w:themeFill="background1" w:themeFillShade="F2"/>
            <w:vAlign w:val="center"/>
          </w:tcPr>
          <w:p w14:paraId="61821979" w14:textId="77777777" w:rsidR="00256DA7" w:rsidRPr="007C0D3C" w:rsidRDefault="00E9069F" w:rsidP="003A782C">
            <w:pPr>
              <w:spacing w:before="0"/>
              <w:jc w:val="center"/>
            </w:pPr>
            <w:r w:rsidRPr="007C0D3C">
              <w:t>D</w:t>
            </w:r>
          </w:p>
        </w:tc>
        <w:tc>
          <w:tcPr>
            <w:tcW w:w="506" w:type="dxa"/>
            <w:shd w:val="clear" w:color="auto" w:fill="F2F2F2" w:themeFill="background1" w:themeFillShade="F2"/>
            <w:vAlign w:val="center"/>
          </w:tcPr>
          <w:p w14:paraId="6182197A" w14:textId="77777777" w:rsidR="00256DA7" w:rsidRPr="007C0D3C" w:rsidRDefault="00E9069F" w:rsidP="003A782C">
            <w:pPr>
              <w:spacing w:before="0"/>
              <w:jc w:val="center"/>
            </w:pPr>
            <w:r w:rsidRPr="007C0D3C">
              <w:t>C</w:t>
            </w:r>
          </w:p>
        </w:tc>
        <w:tc>
          <w:tcPr>
            <w:tcW w:w="430" w:type="dxa"/>
            <w:shd w:val="clear" w:color="auto" w:fill="F2F2F2" w:themeFill="background1" w:themeFillShade="F2"/>
            <w:vAlign w:val="center"/>
          </w:tcPr>
          <w:p w14:paraId="6182197B" w14:textId="77777777" w:rsidR="00256DA7" w:rsidRPr="007C0D3C" w:rsidRDefault="00E9069F" w:rsidP="003A782C">
            <w:pPr>
              <w:spacing w:before="0"/>
              <w:jc w:val="center"/>
            </w:pPr>
            <w:r w:rsidRPr="007C0D3C">
              <w:t>B</w:t>
            </w:r>
          </w:p>
        </w:tc>
        <w:tc>
          <w:tcPr>
            <w:tcW w:w="430" w:type="dxa"/>
            <w:shd w:val="clear" w:color="auto" w:fill="F2F2F2" w:themeFill="background1" w:themeFillShade="F2"/>
            <w:vAlign w:val="center"/>
          </w:tcPr>
          <w:p w14:paraId="6182197C" w14:textId="77777777" w:rsidR="00256DA7" w:rsidRPr="007C0D3C" w:rsidRDefault="00E9069F" w:rsidP="003A782C">
            <w:pPr>
              <w:spacing w:before="0"/>
              <w:jc w:val="center"/>
            </w:pPr>
            <w:r w:rsidRPr="007C0D3C">
              <w:t>B</w:t>
            </w:r>
          </w:p>
        </w:tc>
      </w:tr>
      <w:tr w:rsidR="003A782C" w14:paraId="6182198C" w14:textId="77777777" w:rsidTr="003A782C">
        <w:trPr>
          <w:trHeight w:val="425"/>
        </w:trPr>
        <w:tc>
          <w:tcPr>
            <w:tcW w:w="491" w:type="dxa"/>
            <w:shd w:val="clear" w:color="auto" w:fill="D9D9D9" w:themeFill="background1" w:themeFillShade="D9"/>
            <w:vAlign w:val="center"/>
          </w:tcPr>
          <w:p w14:paraId="6182197E" w14:textId="77777777" w:rsidR="00256DA7" w:rsidRPr="007C0D3C" w:rsidRDefault="00E9069F" w:rsidP="003A782C">
            <w:pPr>
              <w:spacing w:before="0"/>
              <w:rPr>
                <w:b/>
              </w:rPr>
            </w:pPr>
            <w:r w:rsidRPr="007C0D3C">
              <w:rPr>
                <w:b/>
              </w:rPr>
              <w:t>4.1</w:t>
            </w:r>
          </w:p>
        </w:tc>
        <w:tc>
          <w:tcPr>
            <w:tcW w:w="2953" w:type="dxa"/>
            <w:shd w:val="clear" w:color="auto" w:fill="D9D9D9" w:themeFill="background1" w:themeFillShade="D9"/>
            <w:vAlign w:val="center"/>
          </w:tcPr>
          <w:p w14:paraId="6182197F" w14:textId="77777777" w:rsidR="00256DA7" w:rsidRPr="007C0D3C" w:rsidRDefault="00E9069F" w:rsidP="003A782C">
            <w:pPr>
              <w:spacing w:before="0"/>
              <w:jc w:val="left"/>
              <w:rPr>
                <w:b/>
              </w:rPr>
            </w:pPr>
            <w:r w:rsidRPr="007C0D3C">
              <w:rPr>
                <w:b/>
              </w:rPr>
              <w:t>Flammable solid</w:t>
            </w:r>
          </w:p>
        </w:tc>
        <w:tc>
          <w:tcPr>
            <w:tcW w:w="505" w:type="dxa"/>
            <w:shd w:val="clear" w:color="auto" w:fill="D9D9D9" w:themeFill="background1" w:themeFillShade="D9"/>
            <w:vAlign w:val="center"/>
          </w:tcPr>
          <w:p w14:paraId="61821980" w14:textId="77777777" w:rsidR="00256DA7" w:rsidRPr="007C0D3C" w:rsidRDefault="00E9069F" w:rsidP="003A782C">
            <w:pPr>
              <w:spacing w:before="0"/>
              <w:jc w:val="center"/>
            </w:pPr>
            <w:r w:rsidRPr="007C0D3C">
              <w:t>B</w:t>
            </w:r>
          </w:p>
        </w:tc>
        <w:tc>
          <w:tcPr>
            <w:tcW w:w="505" w:type="dxa"/>
            <w:shd w:val="clear" w:color="auto" w:fill="D9D9D9" w:themeFill="background1" w:themeFillShade="D9"/>
            <w:vAlign w:val="center"/>
          </w:tcPr>
          <w:p w14:paraId="61821981" w14:textId="77777777" w:rsidR="00256DA7" w:rsidRPr="007C0D3C" w:rsidRDefault="00E9069F" w:rsidP="003A782C">
            <w:pPr>
              <w:spacing w:before="0"/>
              <w:jc w:val="center"/>
            </w:pPr>
            <w:r w:rsidRPr="007C0D3C">
              <w:t>E</w:t>
            </w:r>
          </w:p>
        </w:tc>
        <w:tc>
          <w:tcPr>
            <w:tcW w:w="506" w:type="dxa"/>
            <w:shd w:val="clear" w:color="auto" w:fill="D9D9D9" w:themeFill="background1" w:themeFillShade="D9"/>
            <w:vAlign w:val="center"/>
          </w:tcPr>
          <w:p w14:paraId="61821982" w14:textId="77777777" w:rsidR="00256DA7" w:rsidRPr="007C0D3C" w:rsidRDefault="00E9069F" w:rsidP="003A782C">
            <w:pPr>
              <w:spacing w:before="0"/>
              <w:jc w:val="center"/>
            </w:pPr>
            <w:r w:rsidRPr="007C0D3C">
              <w:t>C</w:t>
            </w:r>
          </w:p>
        </w:tc>
        <w:tc>
          <w:tcPr>
            <w:tcW w:w="430" w:type="dxa"/>
            <w:shd w:val="clear" w:color="auto" w:fill="D9D9D9" w:themeFill="background1" w:themeFillShade="D9"/>
            <w:vAlign w:val="center"/>
          </w:tcPr>
          <w:p w14:paraId="61821983" w14:textId="77777777" w:rsidR="00256DA7" w:rsidRPr="007C0D3C" w:rsidRDefault="00E9069F" w:rsidP="003A782C">
            <w:pPr>
              <w:spacing w:before="0"/>
              <w:jc w:val="center"/>
            </w:pPr>
            <w:r w:rsidRPr="007C0D3C">
              <w:t>B</w:t>
            </w:r>
          </w:p>
        </w:tc>
        <w:tc>
          <w:tcPr>
            <w:tcW w:w="506" w:type="dxa"/>
            <w:shd w:val="clear" w:color="auto" w:fill="D9D9D9" w:themeFill="background1" w:themeFillShade="D9"/>
            <w:vAlign w:val="center"/>
          </w:tcPr>
          <w:p w14:paraId="61821984" w14:textId="77777777" w:rsidR="00256DA7" w:rsidRPr="007C0D3C" w:rsidRDefault="00E9069F" w:rsidP="003A782C">
            <w:pPr>
              <w:spacing w:before="0"/>
              <w:jc w:val="center"/>
            </w:pPr>
            <w:r w:rsidRPr="007C0D3C">
              <w:t>A</w:t>
            </w:r>
          </w:p>
        </w:tc>
        <w:tc>
          <w:tcPr>
            <w:tcW w:w="506" w:type="dxa"/>
            <w:shd w:val="clear" w:color="auto" w:fill="D9D9D9" w:themeFill="background1" w:themeFillShade="D9"/>
            <w:vAlign w:val="center"/>
          </w:tcPr>
          <w:p w14:paraId="61821985" w14:textId="77777777" w:rsidR="00256DA7" w:rsidRPr="007C0D3C" w:rsidRDefault="00E9069F" w:rsidP="003A782C">
            <w:pPr>
              <w:spacing w:before="0"/>
              <w:jc w:val="center"/>
            </w:pPr>
            <w:r w:rsidRPr="007C0D3C">
              <w:t>D</w:t>
            </w:r>
          </w:p>
        </w:tc>
        <w:tc>
          <w:tcPr>
            <w:tcW w:w="506" w:type="dxa"/>
            <w:shd w:val="clear" w:color="auto" w:fill="D9D9D9" w:themeFill="background1" w:themeFillShade="D9"/>
            <w:vAlign w:val="center"/>
          </w:tcPr>
          <w:p w14:paraId="61821986" w14:textId="77777777" w:rsidR="00256DA7" w:rsidRPr="007C0D3C" w:rsidRDefault="00E9069F" w:rsidP="003A782C">
            <w:pPr>
              <w:spacing w:before="0"/>
              <w:jc w:val="center"/>
            </w:pPr>
            <w:r w:rsidRPr="007C0D3C">
              <w:t>B</w:t>
            </w:r>
          </w:p>
        </w:tc>
        <w:tc>
          <w:tcPr>
            <w:tcW w:w="506" w:type="dxa"/>
            <w:shd w:val="clear" w:color="auto" w:fill="D9D9D9" w:themeFill="background1" w:themeFillShade="D9"/>
            <w:vAlign w:val="center"/>
          </w:tcPr>
          <w:p w14:paraId="61821987" w14:textId="77777777" w:rsidR="00256DA7" w:rsidRPr="007C0D3C" w:rsidRDefault="00E9069F" w:rsidP="003A782C">
            <w:pPr>
              <w:spacing w:before="0"/>
              <w:jc w:val="center"/>
            </w:pPr>
            <w:r w:rsidRPr="007C0D3C">
              <w:t>D</w:t>
            </w:r>
          </w:p>
        </w:tc>
        <w:tc>
          <w:tcPr>
            <w:tcW w:w="506" w:type="dxa"/>
            <w:shd w:val="clear" w:color="auto" w:fill="D9D9D9" w:themeFill="background1" w:themeFillShade="D9"/>
            <w:vAlign w:val="center"/>
          </w:tcPr>
          <w:p w14:paraId="61821988" w14:textId="77777777" w:rsidR="00256DA7" w:rsidRPr="007C0D3C" w:rsidRDefault="00E9069F" w:rsidP="003A782C">
            <w:pPr>
              <w:spacing w:before="0"/>
              <w:jc w:val="center"/>
            </w:pPr>
            <w:r w:rsidRPr="007C0D3C">
              <w:t>D</w:t>
            </w:r>
          </w:p>
        </w:tc>
        <w:tc>
          <w:tcPr>
            <w:tcW w:w="506" w:type="dxa"/>
            <w:shd w:val="clear" w:color="auto" w:fill="D9D9D9" w:themeFill="background1" w:themeFillShade="D9"/>
            <w:vAlign w:val="center"/>
          </w:tcPr>
          <w:p w14:paraId="61821989" w14:textId="77777777" w:rsidR="00256DA7" w:rsidRPr="007C0D3C" w:rsidRDefault="00E9069F" w:rsidP="003A782C">
            <w:pPr>
              <w:spacing w:before="0"/>
              <w:jc w:val="center"/>
            </w:pPr>
            <w:r w:rsidRPr="007C0D3C">
              <w:t>C</w:t>
            </w:r>
          </w:p>
        </w:tc>
        <w:tc>
          <w:tcPr>
            <w:tcW w:w="430" w:type="dxa"/>
            <w:shd w:val="clear" w:color="auto" w:fill="D9D9D9" w:themeFill="background1" w:themeFillShade="D9"/>
            <w:vAlign w:val="center"/>
          </w:tcPr>
          <w:p w14:paraId="6182198A" w14:textId="77777777" w:rsidR="00256DA7" w:rsidRPr="007C0D3C" w:rsidRDefault="00E9069F" w:rsidP="003A782C">
            <w:pPr>
              <w:spacing w:before="0"/>
              <w:jc w:val="center"/>
            </w:pPr>
            <w:r w:rsidRPr="007C0D3C">
              <w:t>B</w:t>
            </w:r>
          </w:p>
        </w:tc>
        <w:tc>
          <w:tcPr>
            <w:tcW w:w="430" w:type="dxa"/>
            <w:shd w:val="clear" w:color="auto" w:fill="D9D9D9" w:themeFill="background1" w:themeFillShade="D9"/>
            <w:vAlign w:val="center"/>
          </w:tcPr>
          <w:p w14:paraId="6182198B" w14:textId="77777777" w:rsidR="00256DA7" w:rsidRPr="007C0D3C" w:rsidRDefault="00E9069F" w:rsidP="003A782C">
            <w:pPr>
              <w:spacing w:before="0"/>
              <w:jc w:val="center"/>
            </w:pPr>
            <w:r w:rsidRPr="007C0D3C">
              <w:t>B</w:t>
            </w:r>
          </w:p>
        </w:tc>
      </w:tr>
      <w:tr w:rsidR="003A782C" w14:paraId="6182199B" w14:textId="77777777" w:rsidTr="003A782C">
        <w:trPr>
          <w:trHeight w:val="425"/>
        </w:trPr>
        <w:tc>
          <w:tcPr>
            <w:tcW w:w="491" w:type="dxa"/>
            <w:shd w:val="clear" w:color="auto" w:fill="F2F2F2" w:themeFill="background1" w:themeFillShade="F2"/>
            <w:vAlign w:val="center"/>
          </w:tcPr>
          <w:p w14:paraId="6182198D" w14:textId="77777777" w:rsidR="00256DA7" w:rsidRPr="007C0D3C" w:rsidRDefault="00E9069F" w:rsidP="003A782C">
            <w:pPr>
              <w:spacing w:before="0"/>
              <w:rPr>
                <w:b/>
              </w:rPr>
            </w:pPr>
            <w:r w:rsidRPr="007C0D3C">
              <w:rPr>
                <w:b/>
              </w:rPr>
              <w:t>4.2</w:t>
            </w:r>
          </w:p>
        </w:tc>
        <w:tc>
          <w:tcPr>
            <w:tcW w:w="2953" w:type="dxa"/>
            <w:shd w:val="clear" w:color="auto" w:fill="F2F2F2" w:themeFill="background1" w:themeFillShade="F2"/>
            <w:vAlign w:val="center"/>
          </w:tcPr>
          <w:p w14:paraId="6182198E" w14:textId="77777777" w:rsidR="00256DA7" w:rsidRPr="007C0D3C" w:rsidRDefault="00E9069F" w:rsidP="003A782C">
            <w:pPr>
              <w:spacing w:before="0"/>
              <w:jc w:val="left"/>
              <w:rPr>
                <w:b/>
              </w:rPr>
            </w:pPr>
            <w:r w:rsidRPr="007C0D3C">
              <w:rPr>
                <w:b/>
              </w:rPr>
              <w:t>Spontaneously combustible</w:t>
            </w:r>
          </w:p>
        </w:tc>
        <w:tc>
          <w:tcPr>
            <w:tcW w:w="505" w:type="dxa"/>
            <w:shd w:val="clear" w:color="auto" w:fill="F2F2F2" w:themeFill="background1" w:themeFillShade="F2"/>
            <w:vAlign w:val="center"/>
          </w:tcPr>
          <w:p w14:paraId="6182198F" w14:textId="77777777" w:rsidR="00256DA7" w:rsidRPr="007C0D3C" w:rsidRDefault="00E9069F" w:rsidP="003A782C">
            <w:pPr>
              <w:spacing w:before="0"/>
              <w:jc w:val="center"/>
            </w:pPr>
            <w:r w:rsidRPr="007C0D3C">
              <w:t>D</w:t>
            </w:r>
          </w:p>
        </w:tc>
        <w:tc>
          <w:tcPr>
            <w:tcW w:w="505" w:type="dxa"/>
            <w:shd w:val="clear" w:color="auto" w:fill="F2F2F2" w:themeFill="background1" w:themeFillShade="F2"/>
            <w:vAlign w:val="center"/>
          </w:tcPr>
          <w:p w14:paraId="61821990" w14:textId="77777777" w:rsidR="00256DA7" w:rsidRPr="007C0D3C" w:rsidRDefault="00E9069F" w:rsidP="003A782C">
            <w:pPr>
              <w:spacing w:before="0"/>
              <w:jc w:val="center"/>
            </w:pPr>
            <w:r w:rsidRPr="007C0D3C">
              <w:t>E</w:t>
            </w:r>
          </w:p>
        </w:tc>
        <w:tc>
          <w:tcPr>
            <w:tcW w:w="506" w:type="dxa"/>
            <w:shd w:val="clear" w:color="auto" w:fill="F2F2F2" w:themeFill="background1" w:themeFillShade="F2"/>
            <w:vAlign w:val="center"/>
          </w:tcPr>
          <w:p w14:paraId="61821991" w14:textId="77777777" w:rsidR="00256DA7" w:rsidRPr="007C0D3C" w:rsidRDefault="00E9069F" w:rsidP="003A782C">
            <w:pPr>
              <w:spacing w:before="0"/>
              <w:jc w:val="center"/>
            </w:pPr>
            <w:r w:rsidRPr="007C0D3C">
              <w:t>C</w:t>
            </w:r>
          </w:p>
        </w:tc>
        <w:tc>
          <w:tcPr>
            <w:tcW w:w="430" w:type="dxa"/>
            <w:shd w:val="clear" w:color="auto" w:fill="F2F2F2" w:themeFill="background1" w:themeFillShade="F2"/>
            <w:vAlign w:val="center"/>
          </w:tcPr>
          <w:p w14:paraId="61821992" w14:textId="77777777" w:rsidR="00256DA7" w:rsidRPr="007C0D3C" w:rsidRDefault="00E9069F" w:rsidP="003A782C">
            <w:pPr>
              <w:spacing w:before="0"/>
              <w:jc w:val="center"/>
            </w:pPr>
            <w:r w:rsidRPr="007C0D3C">
              <w:t>D</w:t>
            </w:r>
          </w:p>
        </w:tc>
        <w:tc>
          <w:tcPr>
            <w:tcW w:w="506" w:type="dxa"/>
            <w:shd w:val="clear" w:color="auto" w:fill="F2F2F2" w:themeFill="background1" w:themeFillShade="F2"/>
            <w:vAlign w:val="center"/>
          </w:tcPr>
          <w:p w14:paraId="61821993" w14:textId="77777777" w:rsidR="00256DA7" w:rsidRPr="007C0D3C" w:rsidRDefault="00E9069F" w:rsidP="003A782C">
            <w:pPr>
              <w:spacing w:before="0"/>
              <w:jc w:val="center"/>
            </w:pPr>
            <w:r w:rsidRPr="007C0D3C">
              <w:t>D</w:t>
            </w:r>
          </w:p>
        </w:tc>
        <w:tc>
          <w:tcPr>
            <w:tcW w:w="506" w:type="dxa"/>
            <w:shd w:val="clear" w:color="auto" w:fill="F2F2F2" w:themeFill="background1" w:themeFillShade="F2"/>
            <w:vAlign w:val="center"/>
          </w:tcPr>
          <w:p w14:paraId="61821994" w14:textId="77777777" w:rsidR="00256DA7" w:rsidRPr="007C0D3C" w:rsidRDefault="00E9069F" w:rsidP="003A782C">
            <w:pPr>
              <w:spacing w:before="0"/>
              <w:jc w:val="center"/>
            </w:pPr>
            <w:r w:rsidRPr="007C0D3C">
              <w:t>A</w:t>
            </w:r>
          </w:p>
        </w:tc>
        <w:tc>
          <w:tcPr>
            <w:tcW w:w="506" w:type="dxa"/>
            <w:shd w:val="clear" w:color="auto" w:fill="F2F2F2" w:themeFill="background1" w:themeFillShade="F2"/>
            <w:vAlign w:val="center"/>
          </w:tcPr>
          <w:p w14:paraId="61821995" w14:textId="77777777" w:rsidR="00256DA7" w:rsidRPr="007C0D3C" w:rsidRDefault="00E9069F" w:rsidP="003A782C">
            <w:pPr>
              <w:spacing w:before="0"/>
              <w:jc w:val="center"/>
            </w:pPr>
            <w:r w:rsidRPr="007C0D3C">
              <w:t>B</w:t>
            </w:r>
          </w:p>
        </w:tc>
        <w:tc>
          <w:tcPr>
            <w:tcW w:w="506" w:type="dxa"/>
            <w:shd w:val="clear" w:color="auto" w:fill="F2F2F2" w:themeFill="background1" w:themeFillShade="F2"/>
            <w:vAlign w:val="center"/>
          </w:tcPr>
          <w:p w14:paraId="61821996" w14:textId="77777777" w:rsidR="00256DA7" w:rsidRPr="007C0D3C" w:rsidRDefault="00E9069F" w:rsidP="003A782C">
            <w:pPr>
              <w:spacing w:before="0"/>
              <w:jc w:val="center"/>
            </w:pPr>
            <w:r w:rsidRPr="007C0D3C">
              <w:t>D</w:t>
            </w:r>
          </w:p>
        </w:tc>
        <w:tc>
          <w:tcPr>
            <w:tcW w:w="506" w:type="dxa"/>
            <w:shd w:val="clear" w:color="auto" w:fill="F2F2F2" w:themeFill="background1" w:themeFillShade="F2"/>
            <w:vAlign w:val="center"/>
          </w:tcPr>
          <w:p w14:paraId="61821997" w14:textId="77777777" w:rsidR="00256DA7" w:rsidRPr="007C0D3C" w:rsidRDefault="00E9069F" w:rsidP="003A782C">
            <w:pPr>
              <w:spacing w:before="0"/>
              <w:jc w:val="center"/>
            </w:pPr>
            <w:r w:rsidRPr="007C0D3C">
              <w:t>D</w:t>
            </w:r>
          </w:p>
        </w:tc>
        <w:tc>
          <w:tcPr>
            <w:tcW w:w="506" w:type="dxa"/>
            <w:shd w:val="clear" w:color="auto" w:fill="F2F2F2" w:themeFill="background1" w:themeFillShade="F2"/>
            <w:vAlign w:val="center"/>
          </w:tcPr>
          <w:p w14:paraId="61821998" w14:textId="77777777" w:rsidR="00256DA7" w:rsidRPr="007C0D3C" w:rsidRDefault="00E9069F" w:rsidP="003A782C">
            <w:pPr>
              <w:spacing w:before="0"/>
              <w:jc w:val="center"/>
            </w:pPr>
            <w:r w:rsidRPr="007C0D3C">
              <w:t>C</w:t>
            </w:r>
          </w:p>
        </w:tc>
        <w:tc>
          <w:tcPr>
            <w:tcW w:w="430" w:type="dxa"/>
            <w:shd w:val="clear" w:color="auto" w:fill="F2F2F2" w:themeFill="background1" w:themeFillShade="F2"/>
            <w:vAlign w:val="center"/>
          </w:tcPr>
          <w:p w14:paraId="61821999" w14:textId="77777777" w:rsidR="00256DA7" w:rsidRPr="007C0D3C" w:rsidRDefault="00E9069F" w:rsidP="003A782C">
            <w:pPr>
              <w:spacing w:before="0"/>
              <w:jc w:val="center"/>
            </w:pPr>
            <w:r w:rsidRPr="007C0D3C">
              <w:t>B</w:t>
            </w:r>
          </w:p>
        </w:tc>
        <w:tc>
          <w:tcPr>
            <w:tcW w:w="430" w:type="dxa"/>
            <w:shd w:val="clear" w:color="auto" w:fill="F2F2F2" w:themeFill="background1" w:themeFillShade="F2"/>
            <w:vAlign w:val="center"/>
          </w:tcPr>
          <w:p w14:paraId="6182199A" w14:textId="77777777" w:rsidR="00256DA7" w:rsidRPr="007C0D3C" w:rsidRDefault="00E9069F" w:rsidP="003A782C">
            <w:pPr>
              <w:spacing w:before="0"/>
              <w:jc w:val="center"/>
            </w:pPr>
            <w:r w:rsidRPr="007C0D3C">
              <w:t>B</w:t>
            </w:r>
          </w:p>
        </w:tc>
      </w:tr>
      <w:tr w:rsidR="003A782C" w14:paraId="618219AA" w14:textId="77777777" w:rsidTr="003A782C">
        <w:trPr>
          <w:trHeight w:val="425"/>
        </w:trPr>
        <w:tc>
          <w:tcPr>
            <w:tcW w:w="491" w:type="dxa"/>
            <w:shd w:val="clear" w:color="auto" w:fill="D9D9D9" w:themeFill="background1" w:themeFillShade="D9"/>
            <w:vAlign w:val="center"/>
          </w:tcPr>
          <w:p w14:paraId="6182199C" w14:textId="77777777" w:rsidR="00256DA7" w:rsidRPr="007C0D3C" w:rsidRDefault="00E9069F" w:rsidP="003A782C">
            <w:pPr>
              <w:spacing w:before="0"/>
              <w:rPr>
                <w:b/>
              </w:rPr>
            </w:pPr>
            <w:r w:rsidRPr="007C0D3C">
              <w:rPr>
                <w:b/>
              </w:rPr>
              <w:t>4.3</w:t>
            </w:r>
          </w:p>
        </w:tc>
        <w:tc>
          <w:tcPr>
            <w:tcW w:w="2953" w:type="dxa"/>
            <w:shd w:val="clear" w:color="auto" w:fill="D9D9D9" w:themeFill="background1" w:themeFillShade="D9"/>
            <w:vAlign w:val="center"/>
          </w:tcPr>
          <w:p w14:paraId="6182199D" w14:textId="77777777" w:rsidR="00256DA7" w:rsidRPr="007C0D3C" w:rsidRDefault="00E9069F" w:rsidP="003A782C">
            <w:pPr>
              <w:spacing w:before="0"/>
              <w:jc w:val="left"/>
              <w:rPr>
                <w:b/>
              </w:rPr>
            </w:pPr>
            <w:r w:rsidRPr="007C0D3C">
              <w:rPr>
                <w:b/>
              </w:rPr>
              <w:t>Dangerous when wet</w:t>
            </w:r>
          </w:p>
        </w:tc>
        <w:tc>
          <w:tcPr>
            <w:tcW w:w="505" w:type="dxa"/>
            <w:shd w:val="clear" w:color="auto" w:fill="D9D9D9" w:themeFill="background1" w:themeFillShade="D9"/>
            <w:vAlign w:val="center"/>
          </w:tcPr>
          <w:p w14:paraId="6182199E" w14:textId="77777777" w:rsidR="00256DA7" w:rsidRPr="007C0D3C" w:rsidRDefault="00E9069F" w:rsidP="003A782C">
            <w:pPr>
              <w:spacing w:before="0"/>
              <w:jc w:val="center"/>
            </w:pPr>
            <w:r w:rsidRPr="007C0D3C">
              <w:t>B</w:t>
            </w:r>
          </w:p>
        </w:tc>
        <w:tc>
          <w:tcPr>
            <w:tcW w:w="505" w:type="dxa"/>
            <w:shd w:val="clear" w:color="auto" w:fill="D9D9D9" w:themeFill="background1" w:themeFillShade="D9"/>
            <w:vAlign w:val="center"/>
          </w:tcPr>
          <w:p w14:paraId="6182199F" w14:textId="77777777" w:rsidR="00256DA7" w:rsidRPr="007C0D3C" w:rsidRDefault="00E9069F" w:rsidP="003A782C">
            <w:pPr>
              <w:spacing w:before="0"/>
              <w:jc w:val="center"/>
            </w:pPr>
            <w:r w:rsidRPr="007C0D3C">
              <w:t>E</w:t>
            </w:r>
          </w:p>
        </w:tc>
        <w:tc>
          <w:tcPr>
            <w:tcW w:w="506" w:type="dxa"/>
            <w:shd w:val="clear" w:color="auto" w:fill="D9D9D9" w:themeFill="background1" w:themeFillShade="D9"/>
            <w:vAlign w:val="center"/>
          </w:tcPr>
          <w:p w14:paraId="618219A0" w14:textId="77777777" w:rsidR="00256DA7" w:rsidRPr="007C0D3C" w:rsidRDefault="00E9069F" w:rsidP="003A782C">
            <w:pPr>
              <w:spacing w:before="0"/>
              <w:jc w:val="center"/>
            </w:pPr>
            <w:r w:rsidRPr="007C0D3C">
              <w:t>C</w:t>
            </w:r>
          </w:p>
        </w:tc>
        <w:tc>
          <w:tcPr>
            <w:tcW w:w="430" w:type="dxa"/>
            <w:shd w:val="clear" w:color="auto" w:fill="D9D9D9" w:themeFill="background1" w:themeFillShade="D9"/>
            <w:vAlign w:val="center"/>
          </w:tcPr>
          <w:p w14:paraId="618219A1" w14:textId="77777777" w:rsidR="00256DA7" w:rsidRPr="007C0D3C" w:rsidRDefault="00E9069F" w:rsidP="003A782C">
            <w:pPr>
              <w:spacing w:before="0"/>
              <w:jc w:val="center"/>
            </w:pPr>
            <w:r w:rsidRPr="007C0D3C">
              <w:t>B</w:t>
            </w:r>
          </w:p>
        </w:tc>
        <w:tc>
          <w:tcPr>
            <w:tcW w:w="506" w:type="dxa"/>
            <w:shd w:val="clear" w:color="auto" w:fill="D9D9D9" w:themeFill="background1" w:themeFillShade="D9"/>
            <w:vAlign w:val="center"/>
          </w:tcPr>
          <w:p w14:paraId="618219A2" w14:textId="77777777" w:rsidR="00256DA7" w:rsidRPr="007C0D3C" w:rsidRDefault="00E9069F" w:rsidP="003A782C">
            <w:pPr>
              <w:spacing w:before="0"/>
              <w:jc w:val="center"/>
            </w:pPr>
            <w:r w:rsidRPr="007C0D3C">
              <w:t>B</w:t>
            </w:r>
          </w:p>
        </w:tc>
        <w:tc>
          <w:tcPr>
            <w:tcW w:w="506" w:type="dxa"/>
            <w:shd w:val="clear" w:color="auto" w:fill="D9D9D9" w:themeFill="background1" w:themeFillShade="D9"/>
            <w:vAlign w:val="center"/>
          </w:tcPr>
          <w:p w14:paraId="618219A3" w14:textId="77777777" w:rsidR="00256DA7" w:rsidRPr="007C0D3C" w:rsidRDefault="00E9069F" w:rsidP="003A782C">
            <w:pPr>
              <w:spacing w:before="0"/>
              <w:jc w:val="center"/>
            </w:pPr>
            <w:r w:rsidRPr="007C0D3C">
              <w:t>B</w:t>
            </w:r>
          </w:p>
        </w:tc>
        <w:tc>
          <w:tcPr>
            <w:tcW w:w="506" w:type="dxa"/>
            <w:shd w:val="clear" w:color="auto" w:fill="D9D9D9" w:themeFill="background1" w:themeFillShade="D9"/>
            <w:vAlign w:val="center"/>
          </w:tcPr>
          <w:p w14:paraId="618219A4" w14:textId="77777777" w:rsidR="00256DA7" w:rsidRPr="007C0D3C" w:rsidRDefault="00E9069F" w:rsidP="003A782C">
            <w:pPr>
              <w:spacing w:before="0"/>
              <w:jc w:val="center"/>
            </w:pPr>
            <w:r w:rsidRPr="007C0D3C">
              <w:t>A</w:t>
            </w:r>
          </w:p>
        </w:tc>
        <w:tc>
          <w:tcPr>
            <w:tcW w:w="506" w:type="dxa"/>
            <w:shd w:val="clear" w:color="auto" w:fill="D9D9D9" w:themeFill="background1" w:themeFillShade="D9"/>
            <w:vAlign w:val="center"/>
          </w:tcPr>
          <w:p w14:paraId="618219A5" w14:textId="77777777" w:rsidR="00256DA7" w:rsidRPr="007C0D3C" w:rsidRDefault="00E9069F" w:rsidP="003A782C">
            <w:pPr>
              <w:spacing w:before="0"/>
              <w:jc w:val="center"/>
            </w:pPr>
            <w:r w:rsidRPr="007C0D3C">
              <w:t>D</w:t>
            </w:r>
          </w:p>
        </w:tc>
        <w:tc>
          <w:tcPr>
            <w:tcW w:w="506" w:type="dxa"/>
            <w:shd w:val="clear" w:color="auto" w:fill="D9D9D9" w:themeFill="background1" w:themeFillShade="D9"/>
            <w:vAlign w:val="center"/>
          </w:tcPr>
          <w:p w14:paraId="618219A6" w14:textId="77777777" w:rsidR="00256DA7" w:rsidRPr="007C0D3C" w:rsidRDefault="00E9069F" w:rsidP="003A782C">
            <w:pPr>
              <w:spacing w:before="0"/>
              <w:jc w:val="center"/>
            </w:pPr>
            <w:r w:rsidRPr="007C0D3C">
              <w:t>D</w:t>
            </w:r>
          </w:p>
        </w:tc>
        <w:tc>
          <w:tcPr>
            <w:tcW w:w="506" w:type="dxa"/>
            <w:shd w:val="clear" w:color="auto" w:fill="D9D9D9" w:themeFill="background1" w:themeFillShade="D9"/>
            <w:vAlign w:val="center"/>
          </w:tcPr>
          <w:p w14:paraId="618219A7" w14:textId="77777777" w:rsidR="00256DA7" w:rsidRPr="007C0D3C" w:rsidRDefault="00E9069F" w:rsidP="003A782C">
            <w:pPr>
              <w:spacing w:before="0"/>
              <w:jc w:val="center"/>
            </w:pPr>
            <w:r w:rsidRPr="007C0D3C">
              <w:t>C</w:t>
            </w:r>
          </w:p>
        </w:tc>
        <w:tc>
          <w:tcPr>
            <w:tcW w:w="430" w:type="dxa"/>
            <w:shd w:val="clear" w:color="auto" w:fill="D9D9D9" w:themeFill="background1" w:themeFillShade="D9"/>
            <w:vAlign w:val="center"/>
          </w:tcPr>
          <w:p w14:paraId="618219A8" w14:textId="77777777" w:rsidR="00256DA7" w:rsidRPr="007C0D3C" w:rsidRDefault="00E9069F" w:rsidP="003A782C">
            <w:pPr>
              <w:spacing w:before="0"/>
              <w:jc w:val="center"/>
            </w:pPr>
            <w:r w:rsidRPr="007C0D3C">
              <w:t>D</w:t>
            </w:r>
          </w:p>
        </w:tc>
        <w:tc>
          <w:tcPr>
            <w:tcW w:w="430" w:type="dxa"/>
            <w:shd w:val="clear" w:color="auto" w:fill="D9D9D9" w:themeFill="background1" w:themeFillShade="D9"/>
            <w:vAlign w:val="center"/>
          </w:tcPr>
          <w:p w14:paraId="618219A9" w14:textId="77777777" w:rsidR="00256DA7" w:rsidRPr="007C0D3C" w:rsidRDefault="00E9069F" w:rsidP="003A782C">
            <w:pPr>
              <w:spacing w:before="0"/>
              <w:jc w:val="center"/>
            </w:pPr>
            <w:r w:rsidRPr="007C0D3C">
              <w:t>B</w:t>
            </w:r>
          </w:p>
        </w:tc>
      </w:tr>
      <w:tr w:rsidR="003A782C" w14:paraId="618219B9" w14:textId="77777777" w:rsidTr="003A782C">
        <w:trPr>
          <w:trHeight w:val="425"/>
        </w:trPr>
        <w:tc>
          <w:tcPr>
            <w:tcW w:w="491" w:type="dxa"/>
            <w:shd w:val="clear" w:color="auto" w:fill="F2F2F2" w:themeFill="background1" w:themeFillShade="F2"/>
            <w:vAlign w:val="center"/>
          </w:tcPr>
          <w:p w14:paraId="618219AB" w14:textId="77777777" w:rsidR="00256DA7" w:rsidRPr="007C0D3C" w:rsidRDefault="00E9069F" w:rsidP="003A782C">
            <w:pPr>
              <w:spacing w:before="0"/>
              <w:rPr>
                <w:b/>
              </w:rPr>
            </w:pPr>
            <w:r w:rsidRPr="007C0D3C">
              <w:rPr>
                <w:b/>
              </w:rPr>
              <w:t>5.1</w:t>
            </w:r>
          </w:p>
        </w:tc>
        <w:tc>
          <w:tcPr>
            <w:tcW w:w="2953" w:type="dxa"/>
            <w:shd w:val="clear" w:color="auto" w:fill="F2F2F2" w:themeFill="background1" w:themeFillShade="F2"/>
            <w:vAlign w:val="center"/>
          </w:tcPr>
          <w:p w14:paraId="618219AC" w14:textId="77777777" w:rsidR="00256DA7" w:rsidRPr="007C0D3C" w:rsidRDefault="00E9069F" w:rsidP="003A782C">
            <w:pPr>
              <w:spacing w:before="0"/>
              <w:jc w:val="left"/>
              <w:rPr>
                <w:b/>
              </w:rPr>
            </w:pPr>
            <w:r w:rsidRPr="007C0D3C">
              <w:rPr>
                <w:b/>
              </w:rPr>
              <w:t>Oxidizing agent</w:t>
            </w:r>
          </w:p>
        </w:tc>
        <w:tc>
          <w:tcPr>
            <w:tcW w:w="505" w:type="dxa"/>
            <w:shd w:val="clear" w:color="auto" w:fill="F2F2F2" w:themeFill="background1" w:themeFillShade="F2"/>
            <w:vAlign w:val="center"/>
          </w:tcPr>
          <w:p w14:paraId="618219AD" w14:textId="77777777" w:rsidR="00256DA7" w:rsidRPr="007C0D3C" w:rsidRDefault="00E9069F" w:rsidP="003A782C">
            <w:pPr>
              <w:spacing w:before="0"/>
              <w:jc w:val="center"/>
            </w:pPr>
            <w:r w:rsidRPr="007C0D3C">
              <w:t>D</w:t>
            </w:r>
          </w:p>
        </w:tc>
        <w:tc>
          <w:tcPr>
            <w:tcW w:w="505" w:type="dxa"/>
            <w:shd w:val="clear" w:color="auto" w:fill="F2F2F2" w:themeFill="background1" w:themeFillShade="F2"/>
            <w:vAlign w:val="center"/>
          </w:tcPr>
          <w:p w14:paraId="618219AE" w14:textId="77777777" w:rsidR="00256DA7" w:rsidRPr="007C0D3C" w:rsidRDefault="00E9069F" w:rsidP="003A782C">
            <w:pPr>
              <w:spacing w:before="0"/>
              <w:jc w:val="center"/>
            </w:pPr>
            <w:r w:rsidRPr="007C0D3C">
              <w:t>B</w:t>
            </w:r>
          </w:p>
        </w:tc>
        <w:tc>
          <w:tcPr>
            <w:tcW w:w="506" w:type="dxa"/>
            <w:shd w:val="clear" w:color="auto" w:fill="F2F2F2" w:themeFill="background1" w:themeFillShade="F2"/>
            <w:vAlign w:val="center"/>
          </w:tcPr>
          <w:p w14:paraId="618219AF" w14:textId="77777777" w:rsidR="00256DA7" w:rsidRPr="007C0D3C" w:rsidRDefault="00E9069F" w:rsidP="003A782C">
            <w:pPr>
              <w:spacing w:before="0"/>
              <w:jc w:val="center"/>
            </w:pPr>
            <w:r w:rsidRPr="007C0D3C">
              <w:t>C</w:t>
            </w:r>
          </w:p>
        </w:tc>
        <w:tc>
          <w:tcPr>
            <w:tcW w:w="430" w:type="dxa"/>
            <w:shd w:val="clear" w:color="auto" w:fill="F2F2F2" w:themeFill="background1" w:themeFillShade="F2"/>
            <w:vAlign w:val="center"/>
          </w:tcPr>
          <w:p w14:paraId="618219B0" w14:textId="77777777" w:rsidR="00256DA7" w:rsidRPr="007C0D3C" w:rsidRDefault="00E9069F" w:rsidP="003A782C">
            <w:pPr>
              <w:spacing w:before="0"/>
              <w:jc w:val="center"/>
            </w:pPr>
            <w:r w:rsidRPr="007C0D3C">
              <w:t>D</w:t>
            </w:r>
          </w:p>
        </w:tc>
        <w:tc>
          <w:tcPr>
            <w:tcW w:w="506" w:type="dxa"/>
            <w:shd w:val="clear" w:color="auto" w:fill="F2F2F2" w:themeFill="background1" w:themeFillShade="F2"/>
            <w:vAlign w:val="center"/>
          </w:tcPr>
          <w:p w14:paraId="618219B1" w14:textId="77777777" w:rsidR="00256DA7" w:rsidRPr="007C0D3C" w:rsidRDefault="00E9069F" w:rsidP="003A782C">
            <w:pPr>
              <w:spacing w:before="0"/>
              <w:jc w:val="center"/>
            </w:pPr>
            <w:r w:rsidRPr="007C0D3C">
              <w:t>D</w:t>
            </w:r>
          </w:p>
        </w:tc>
        <w:tc>
          <w:tcPr>
            <w:tcW w:w="506" w:type="dxa"/>
            <w:shd w:val="clear" w:color="auto" w:fill="F2F2F2" w:themeFill="background1" w:themeFillShade="F2"/>
            <w:vAlign w:val="center"/>
          </w:tcPr>
          <w:p w14:paraId="618219B2" w14:textId="77777777" w:rsidR="00256DA7" w:rsidRPr="007C0D3C" w:rsidRDefault="00E9069F" w:rsidP="003A782C">
            <w:pPr>
              <w:spacing w:before="0"/>
              <w:jc w:val="center"/>
            </w:pPr>
            <w:r w:rsidRPr="007C0D3C">
              <w:t>D</w:t>
            </w:r>
          </w:p>
        </w:tc>
        <w:tc>
          <w:tcPr>
            <w:tcW w:w="506" w:type="dxa"/>
            <w:shd w:val="clear" w:color="auto" w:fill="F2F2F2" w:themeFill="background1" w:themeFillShade="F2"/>
            <w:vAlign w:val="center"/>
          </w:tcPr>
          <w:p w14:paraId="618219B3" w14:textId="77777777" w:rsidR="00256DA7" w:rsidRPr="007C0D3C" w:rsidRDefault="00E9069F" w:rsidP="003A782C">
            <w:pPr>
              <w:spacing w:before="0"/>
              <w:jc w:val="center"/>
            </w:pPr>
            <w:r w:rsidRPr="007C0D3C">
              <w:t>D</w:t>
            </w:r>
          </w:p>
        </w:tc>
        <w:tc>
          <w:tcPr>
            <w:tcW w:w="506" w:type="dxa"/>
            <w:shd w:val="clear" w:color="auto" w:fill="F2F2F2" w:themeFill="background1" w:themeFillShade="F2"/>
            <w:vAlign w:val="center"/>
          </w:tcPr>
          <w:p w14:paraId="618219B4" w14:textId="77777777" w:rsidR="00256DA7" w:rsidRPr="007C0D3C" w:rsidRDefault="00E9069F" w:rsidP="003A782C">
            <w:pPr>
              <w:spacing w:before="0"/>
              <w:jc w:val="center"/>
            </w:pPr>
            <w:r w:rsidRPr="007C0D3C">
              <w:t>A</w:t>
            </w:r>
          </w:p>
        </w:tc>
        <w:tc>
          <w:tcPr>
            <w:tcW w:w="506" w:type="dxa"/>
            <w:shd w:val="clear" w:color="auto" w:fill="F2F2F2" w:themeFill="background1" w:themeFillShade="F2"/>
            <w:vAlign w:val="center"/>
          </w:tcPr>
          <w:p w14:paraId="618219B5" w14:textId="77777777" w:rsidR="00256DA7" w:rsidRPr="007C0D3C" w:rsidRDefault="00E9069F" w:rsidP="003A782C">
            <w:pPr>
              <w:spacing w:before="0"/>
              <w:jc w:val="center"/>
            </w:pPr>
            <w:r w:rsidRPr="007C0D3C">
              <w:t>D</w:t>
            </w:r>
          </w:p>
        </w:tc>
        <w:tc>
          <w:tcPr>
            <w:tcW w:w="506" w:type="dxa"/>
            <w:shd w:val="clear" w:color="auto" w:fill="F2F2F2" w:themeFill="background1" w:themeFillShade="F2"/>
            <w:vAlign w:val="center"/>
          </w:tcPr>
          <w:p w14:paraId="618219B6" w14:textId="77777777" w:rsidR="00256DA7" w:rsidRPr="007C0D3C" w:rsidRDefault="00E9069F" w:rsidP="003A782C">
            <w:pPr>
              <w:spacing w:before="0"/>
              <w:jc w:val="center"/>
            </w:pPr>
            <w:r w:rsidRPr="007C0D3C">
              <w:t>F</w:t>
            </w:r>
          </w:p>
        </w:tc>
        <w:tc>
          <w:tcPr>
            <w:tcW w:w="430" w:type="dxa"/>
            <w:shd w:val="clear" w:color="auto" w:fill="F2F2F2" w:themeFill="background1" w:themeFillShade="F2"/>
            <w:vAlign w:val="center"/>
          </w:tcPr>
          <w:p w14:paraId="618219B7" w14:textId="77777777" w:rsidR="00256DA7" w:rsidRPr="007C0D3C" w:rsidRDefault="00E9069F" w:rsidP="003A782C">
            <w:pPr>
              <w:spacing w:before="0"/>
              <w:jc w:val="center"/>
            </w:pPr>
            <w:r w:rsidRPr="007C0D3C">
              <w:t>D</w:t>
            </w:r>
          </w:p>
        </w:tc>
        <w:tc>
          <w:tcPr>
            <w:tcW w:w="430" w:type="dxa"/>
            <w:shd w:val="clear" w:color="auto" w:fill="F2F2F2" w:themeFill="background1" w:themeFillShade="F2"/>
            <w:vAlign w:val="center"/>
          </w:tcPr>
          <w:p w14:paraId="618219B8" w14:textId="77777777" w:rsidR="00256DA7" w:rsidRPr="007C0D3C" w:rsidRDefault="00E9069F" w:rsidP="003A782C">
            <w:pPr>
              <w:spacing w:before="0"/>
              <w:jc w:val="center"/>
            </w:pPr>
            <w:r w:rsidRPr="007C0D3C">
              <w:t>F</w:t>
            </w:r>
          </w:p>
        </w:tc>
      </w:tr>
      <w:tr w:rsidR="003A782C" w14:paraId="618219C8" w14:textId="77777777" w:rsidTr="003A782C">
        <w:trPr>
          <w:trHeight w:val="425"/>
        </w:trPr>
        <w:tc>
          <w:tcPr>
            <w:tcW w:w="491" w:type="dxa"/>
            <w:shd w:val="clear" w:color="auto" w:fill="D9D9D9" w:themeFill="background1" w:themeFillShade="D9"/>
            <w:vAlign w:val="center"/>
          </w:tcPr>
          <w:p w14:paraId="618219BA" w14:textId="77777777" w:rsidR="00256DA7" w:rsidRPr="007C0D3C" w:rsidRDefault="00E9069F" w:rsidP="003A782C">
            <w:pPr>
              <w:spacing w:before="0"/>
              <w:rPr>
                <w:b/>
              </w:rPr>
            </w:pPr>
            <w:r w:rsidRPr="007C0D3C">
              <w:rPr>
                <w:b/>
              </w:rPr>
              <w:t>5.2</w:t>
            </w:r>
          </w:p>
        </w:tc>
        <w:tc>
          <w:tcPr>
            <w:tcW w:w="2953" w:type="dxa"/>
            <w:shd w:val="clear" w:color="auto" w:fill="D9D9D9" w:themeFill="background1" w:themeFillShade="D9"/>
            <w:vAlign w:val="center"/>
          </w:tcPr>
          <w:p w14:paraId="618219BB" w14:textId="77777777" w:rsidR="00256DA7" w:rsidRPr="007C0D3C" w:rsidRDefault="00E9069F" w:rsidP="003A782C">
            <w:pPr>
              <w:spacing w:before="0"/>
              <w:jc w:val="left"/>
              <w:rPr>
                <w:b/>
              </w:rPr>
            </w:pPr>
            <w:r w:rsidRPr="007C0D3C">
              <w:rPr>
                <w:b/>
              </w:rPr>
              <w:t>Organic peroxide</w:t>
            </w:r>
          </w:p>
        </w:tc>
        <w:tc>
          <w:tcPr>
            <w:tcW w:w="505" w:type="dxa"/>
            <w:shd w:val="clear" w:color="auto" w:fill="D9D9D9" w:themeFill="background1" w:themeFillShade="D9"/>
            <w:vAlign w:val="center"/>
          </w:tcPr>
          <w:p w14:paraId="618219BC" w14:textId="77777777" w:rsidR="00256DA7" w:rsidRPr="007C0D3C" w:rsidRDefault="00E9069F" w:rsidP="003A782C">
            <w:pPr>
              <w:spacing w:before="0"/>
              <w:jc w:val="center"/>
            </w:pPr>
            <w:r w:rsidRPr="007C0D3C">
              <w:t>D</w:t>
            </w:r>
          </w:p>
        </w:tc>
        <w:tc>
          <w:tcPr>
            <w:tcW w:w="505" w:type="dxa"/>
            <w:shd w:val="clear" w:color="auto" w:fill="D9D9D9" w:themeFill="background1" w:themeFillShade="D9"/>
            <w:vAlign w:val="center"/>
          </w:tcPr>
          <w:p w14:paraId="618219BD" w14:textId="77777777" w:rsidR="00256DA7" w:rsidRPr="007C0D3C" w:rsidRDefault="00E9069F" w:rsidP="003A782C">
            <w:pPr>
              <w:spacing w:before="0"/>
              <w:jc w:val="center"/>
            </w:pPr>
            <w:r w:rsidRPr="007C0D3C">
              <w:t>E</w:t>
            </w:r>
          </w:p>
        </w:tc>
        <w:tc>
          <w:tcPr>
            <w:tcW w:w="506" w:type="dxa"/>
            <w:shd w:val="clear" w:color="auto" w:fill="D9D9D9" w:themeFill="background1" w:themeFillShade="D9"/>
            <w:vAlign w:val="center"/>
          </w:tcPr>
          <w:p w14:paraId="618219BE" w14:textId="77777777" w:rsidR="00256DA7" w:rsidRPr="007C0D3C" w:rsidRDefault="00E9069F" w:rsidP="003A782C">
            <w:pPr>
              <w:spacing w:before="0"/>
              <w:jc w:val="center"/>
            </w:pPr>
            <w:r w:rsidRPr="007C0D3C">
              <w:t>C</w:t>
            </w:r>
          </w:p>
        </w:tc>
        <w:tc>
          <w:tcPr>
            <w:tcW w:w="430" w:type="dxa"/>
            <w:shd w:val="clear" w:color="auto" w:fill="D9D9D9" w:themeFill="background1" w:themeFillShade="D9"/>
            <w:vAlign w:val="center"/>
          </w:tcPr>
          <w:p w14:paraId="618219BF" w14:textId="77777777" w:rsidR="00256DA7" w:rsidRPr="007C0D3C" w:rsidRDefault="00E9069F" w:rsidP="003A782C">
            <w:pPr>
              <w:spacing w:before="0"/>
              <w:jc w:val="center"/>
            </w:pPr>
            <w:r w:rsidRPr="007C0D3C">
              <w:t>D</w:t>
            </w:r>
          </w:p>
        </w:tc>
        <w:tc>
          <w:tcPr>
            <w:tcW w:w="506" w:type="dxa"/>
            <w:shd w:val="clear" w:color="auto" w:fill="D9D9D9" w:themeFill="background1" w:themeFillShade="D9"/>
            <w:vAlign w:val="center"/>
          </w:tcPr>
          <w:p w14:paraId="618219C0" w14:textId="77777777" w:rsidR="00256DA7" w:rsidRPr="007C0D3C" w:rsidRDefault="00E9069F" w:rsidP="003A782C">
            <w:pPr>
              <w:spacing w:before="0"/>
              <w:jc w:val="center"/>
            </w:pPr>
            <w:r w:rsidRPr="007C0D3C">
              <w:t>D</w:t>
            </w:r>
          </w:p>
        </w:tc>
        <w:tc>
          <w:tcPr>
            <w:tcW w:w="506" w:type="dxa"/>
            <w:shd w:val="clear" w:color="auto" w:fill="D9D9D9" w:themeFill="background1" w:themeFillShade="D9"/>
            <w:vAlign w:val="center"/>
          </w:tcPr>
          <w:p w14:paraId="618219C1" w14:textId="77777777" w:rsidR="00256DA7" w:rsidRPr="007C0D3C" w:rsidRDefault="00E9069F" w:rsidP="003A782C">
            <w:pPr>
              <w:spacing w:before="0"/>
              <w:jc w:val="center"/>
            </w:pPr>
            <w:r w:rsidRPr="007C0D3C">
              <w:t>D</w:t>
            </w:r>
          </w:p>
        </w:tc>
        <w:tc>
          <w:tcPr>
            <w:tcW w:w="506" w:type="dxa"/>
            <w:shd w:val="clear" w:color="auto" w:fill="D9D9D9" w:themeFill="background1" w:themeFillShade="D9"/>
            <w:vAlign w:val="center"/>
          </w:tcPr>
          <w:p w14:paraId="618219C2" w14:textId="77777777" w:rsidR="00256DA7" w:rsidRPr="007C0D3C" w:rsidRDefault="00E9069F" w:rsidP="003A782C">
            <w:pPr>
              <w:spacing w:before="0"/>
              <w:jc w:val="center"/>
            </w:pPr>
            <w:r w:rsidRPr="007C0D3C">
              <w:t>D</w:t>
            </w:r>
          </w:p>
        </w:tc>
        <w:tc>
          <w:tcPr>
            <w:tcW w:w="506" w:type="dxa"/>
            <w:shd w:val="clear" w:color="auto" w:fill="D9D9D9" w:themeFill="background1" w:themeFillShade="D9"/>
            <w:vAlign w:val="center"/>
          </w:tcPr>
          <w:p w14:paraId="618219C3" w14:textId="77777777" w:rsidR="00256DA7" w:rsidRPr="007C0D3C" w:rsidRDefault="00E9069F" w:rsidP="003A782C">
            <w:pPr>
              <w:spacing w:before="0"/>
              <w:jc w:val="center"/>
            </w:pPr>
            <w:r w:rsidRPr="007C0D3C">
              <w:t>D</w:t>
            </w:r>
          </w:p>
        </w:tc>
        <w:tc>
          <w:tcPr>
            <w:tcW w:w="506" w:type="dxa"/>
            <w:shd w:val="clear" w:color="auto" w:fill="D9D9D9" w:themeFill="background1" w:themeFillShade="D9"/>
            <w:vAlign w:val="center"/>
          </w:tcPr>
          <w:p w14:paraId="618219C4" w14:textId="77777777" w:rsidR="00256DA7" w:rsidRPr="007C0D3C" w:rsidRDefault="00E9069F" w:rsidP="003A782C">
            <w:pPr>
              <w:spacing w:before="0"/>
              <w:jc w:val="center"/>
            </w:pPr>
            <w:r w:rsidRPr="007C0D3C">
              <w:t>G</w:t>
            </w:r>
          </w:p>
        </w:tc>
        <w:tc>
          <w:tcPr>
            <w:tcW w:w="506" w:type="dxa"/>
            <w:shd w:val="clear" w:color="auto" w:fill="D9D9D9" w:themeFill="background1" w:themeFillShade="D9"/>
            <w:vAlign w:val="center"/>
          </w:tcPr>
          <w:p w14:paraId="618219C5" w14:textId="77777777" w:rsidR="00256DA7" w:rsidRPr="007C0D3C" w:rsidRDefault="00E9069F" w:rsidP="003A782C">
            <w:pPr>
              <w:spacing w:before="0"/>
              <w:jc w:val="center"/>
            </w:pPr>
            <w:r w:rsidRPr="007C0D3C">
              <w:t>F</w:t>
            </w:r>
          </w:p>
        </w:tc>
        <w:tc>
          <w:tcPr>
            <w:tcW w:w="430" w:type="dxa"/>
            <w:shd w:val="clear" w:color="auto" w:fill="D9D9D9" w:themeFill="background1" w:themeFillShade="D9"/>
            <w:vAlign w:val="center"/>
          </w:tcPr>
          <w:p w14:paraId="618219C6" w14:textId="77777777" w:rsidR="00256DA7" w:rsidRPr="007C0D3C" w:rsidRDefault="00E9069F" w:rsidP="003A782C">
            <w:pPr>
              <w:spacing w:before="0"/>
              <w:jc w:val="center"/>
            </w:pPr>
            <w:r w:rsidRPr="007C0D3C">
              <w:t>D</w:t>
            </w:r>
          </w:p>
        </w:tc>
        <w:tc>
          <w:tcPr>
            <w:tcW w:w="430" w:type="dxa"/>
            <w:shd w:val="clear" w:color="auto" w:fill="D9D9D9" w:themeFill="background1" w:themeFillShade="D9"/>
            <w:vAlign w:val="center"/>
          </w:tcPr>
          <w:p w14:paraId="618219C7" w14:textId="77777777" w:rsidR="00256DA7" w:rsidRPr="007C0D3C" w:rsidRDefault="00E9069F" w:rsidP="003A782C">
            <w:pPr>
              <w:spacing w:before="0"/>
              <w:jc w:val="center"/>
            </w:pPr>
            <w:r w:rsidRPr="007C0D3C">
              <w:t>F</w:t>
            </w:r>
          </w:p>
        </w:tc>
      </w:tr>
      <w:tr w:rsidR="003A782C" w14:paraId="618219D7" w14:textId="77777777" w:rsidTr="003A782C">
        <w:trPr>
          <w:trHeight w:val="425"/>
        </w:trPr>
        <w:tc>
          <w:tcPr>
            <w:tcW w:w="491" w:type="dxa"/>
            <w:shd w:val="clear" w:color="auto" w:fill="F2F2F2" w:themeFill="background1" w:themeFillShade="F2"/>
            <w:vAlign w:val="center"/>
          </w:tcPr>
          <w:p w14:paraId="618219C9" w14:textId="77777777" w:rsidR="00256DA7" w:rsidRPr="007C0D3C" w:rsidRDefault="00E9069F" w:rsidP="003A782C">
            <w:pPr>
              <w:spacing w:before="0"/>
              <w:rPr>
                <w:b/>
              </w:rPr>
            </w:pPr>
            <w:r w:rsidRPr="007C0D3C">
              <w:rPr>
                <w:b/>
              </w:rPr>
              <w:t>6.1</w:t>
            </w:r>
          </w:p>
        </w:tc>
        <w:tc>
          <w:tcPr>
            <w:tcW w:w="2953" w:type="dxa"/>
            <w:shd w:val="clear" w:color="auto" w:fill="F2F2F2" w:themeFill="background1" w:themeFillShade="F2"/>
            <w:vAlign w:val="center"/>
          </w:tcPr>
          <w:p w14:paraId="618219CA" w14:textId="77777777" w:rsidR="00256DA7" w:rsidRPr="007C0D3C" w:rsidRDefault="00E9069F" w:rsidP="003A782C">
            <w:pPr>
              <w:spacing w:before="0"/>
              <w:jc w:val="left"/>
              <w:rPr>
                <w:b/>
              </w:rPr>
            </w:pPr>
            <w:r w:rsidRPr="007C0D3C">
              <w:rPr>
                <w:b/>
              </w:rPr>
              <w:t>Toxic</w:t>
            </w:r>
          </w:p>
        </w:tc>
        <w:tc>
          <w:tcPr>
            <w:tcW w:w="505" w:type="dxa"/>
            <w:shd w:val="clear" w:color="auto" w:fill="F2F2F2" w:themeFill="background1" w:themeFillShade="F2"/>
            <w:vAlign w:val="center"/>
          </w:tcPr>
          <w:p w14:paraId="618219CB" w14:textId="77777777" w:rsidR="00256DA7" w:rsidRPr="007C0D3C" w:rsidRDefault="00E9069F" w:rsidP="003A782C">
            <w:pPr>
              <w:spacing w:before="0"/>
              <w:jc w:val="center"/>
            </w:pPr>
            <w:r w:rsidRPr="007C0D3C">
              <w:t>C</w:t>
            </w:r>
          </w:p>
        </w:tc>
        <w:tc>
          <w:tcPr>
            <w:tcW w:w="505" w:type="dxa"/>
            <w:shd w:val="clear" w:color="auto" w:fill="F2F2F2" w:themeFill="background1" w:themeFillShade="F2"/>
            <w:vAlign w:val="center"/>
          </w:tcPr>
          <w:p w14:paraId="618219CC" w14:textId="77777777" w:rsidR="00256DA7" w:rsidRPr="007C0D3C" w:rsidRDefault="00E9069F" w:rsidP="003A782C">
            <w:pPr>
              <w:spacing w:before="0"/>
              <w:jc w:val="center"/>
            </w:pPr>
            <w:r w:rsidRPr="007C0D3C">
              <w:t>B</w:t>
            </w:r>
          </w:p>
        </w:tc>
        <w:tc>
          <w:tcPr>
            <w:tcW w:w="506" w:type="dxa"/>
            <w:shd w:val="clear" w:color="auto" w:fill="F2F2F2" w:themeFill="background1" w:themeFillShade="F2"/>
            <w:vAlign w:val="center"/>
          </w:tcPr>
          <w:p w14:paraId="618219CD" w14:textId="77777777" w:rsidR="00256DA7" w:rsidRPr="007C0D3C" w:rsidRDefault="00E9069F" w:rsidP="003A782C">
            <w:pPr>
              <w:spacing w:before="0"/>
              <w:jc w:val="center"/>
            </w:pPr>
            <w:r w:rsidRPr="007C0D3C">
              <w:t>B</w:t>
            </w:r>
          </w:p>
        </w:tc>
        <w:tc>
          <w:tcPr>
            <w:tcW w:w="430" w:type="dxa"/>
            <w:shd w:val="clear" w:color="auto" w:fill="F2F2F2" w:themeFill="background1" w:themeFillShade="F2"/>
            <w:vAlign w:val="center"/>
          </w:tcPr>
          <w:p w14:paraId="618219CE" w14:textId="77777777" w:rsidR="00256DA7" w:rsidRPr="007C0D3C" w:rsidRDefault="00E9069F" w:rsidP="003A782C">
            <w:pPr>
              <w:spacing w:before="0"/>
              <w:jc w:val="center"/>
            </w:pPr>
            <w:r w:rsidRPr="007C0D3C">
              <w:t>C</w:t>
            </w:r>
          </w:p>
        </w:tc>
        <w:tc>
          <w:tcPr>
            <w:tcW w:w="506" w:type="dxa"/>
            <w:shd w:val="clear" w:color="auto" w:fill="F2F2F2" w:themeFill="background1" w:themeFillShade="F2"/>
            <w:vAlign w:val="center"/>
          </w:tcPr>
          <w:p w14:paraId="618219CF" w14:textId="77777777" w:rsidR="00256DA7" w:rsidRPr="007C0D3C" w:rsidRDefault="00E9069F" w:rsidP="003A782C">
            <w:pPr>
              <w:spacing w:before="0"/>
              <w:jc w:val="center"/>
            </w:pPr>
            <w:r w:rsidRPr="007C0D3C">
              <w:t>C</w:t>
            </w:r>
          </w:p>
        </w:tc>
        <w:tc>
          <w:tcPr>
            <w:tcW w:w="506" w:type="dxa"/>
            <w:shd w:val="clear" w:color="auto" w:fill="F2F2F2" w:themeFill="background1" w:themeFillShade="F2"/>
            <w:vAlign w:val="center"/>
          </w:tcPr>
          <w:p w14:paraId="618219D0" w14:textId="77777777" w:rsidR="00256DA7" w:rsidRPr="007C0D3C" w:rsidRDefault="00E9069F" w:rsidP="003A782C">
            <w:pPr>
              <w:spacing w:before="0"/>
              <w:jc w:val="center"/>
            </w:pPr>
            <w:r w:rsidRPr="007C0D3C">
              <w:t>C</w:t>
            </w:r>
          </w:p>
        </w:tc>
        <w:tc>
          <w:tcPr>
            <w:tcW w:w="506" w:type="dxa"/>
            <w:shd w:val="clear" w:color="auto" w:fill="F2F2F2" w:themeFill="background1" w:themeFillShade="F2"/>
            <w:vAlign w:val="center"/>
          </w:tcPr>
          <w:p w14:paraId="618219D1" w14:textId="77777777" w:rsidR="00256DA7" w:rsidRPr="007C0D3C" w:rsidRDefault="00E9069F" w:rsidP="003A782C">
            <w:pPr>
              <w:spacing w:before="0"/>
              <w:jc w:val="center"/>
            </w:pPr>
            <w:r w:rsidRPr="007C0D3C">
              <w:t>C</w:t>
            </w:r>
          </w:p>
        </w:tc>
        <w:tc>
          <w:tcPr>
            <w:tcW w:w="506" w:type="dxa"/>
            <w:shd w:val="clear" w:color="auto" w:fill="F2F2F2" w:themeFill="background1" w:themeFillShade="F2"/>
            <w:vAlign w:val="center"/>
          </w:tcPr>
          <w:p w14:paraId="618219D2" w14:textId="77777777" w:rsidR="00256DA7" w:rsidRPr="007C0D3C" w:rsidRDefault="00E9069F" w:rsidP="003A782C">
            <w:pPr>
              <w:spacing w:before="0"/>
              <w:jc w:val="center"/>
            </w:pPr>
            <w:r w:rsidRPr="007C0D3C">
              <w:t>F</w:t>
            </w:r>
          </w:p>
        </w:tc>
        <w:tc>
          <w:tcPr>
            <w:tcW w:w="506" w:type="dxa"/>
            <w:shd w:val="clear" w:color="auto" w:fill="F2F2F2" w:themeFill="background1" w:themeFillShade="F2"/>
            <w:vAlign w:val="center"/>
          </w:tcPr>
          <w:p w14:paraId="618219D3" w14:textId="77777777" w:rsidR="00256DA7" w:rsidRPr="007C0D3C" w:rsidRDefault="00E9069F" w:rsidP="003A782C">
            <w:pPr>
              <w:spacing w:before="0"/>
              <w:jc w:val="center"/>
            </w:pPr>
            <w:r w:rsidRPr="007C0D3C">
              <w:t>F</w:t>
            </w:r>
          </w:p>
        </w:tc>
        <w:tc>
          <w:tcPr>
            <w:tcW w:w="506" w:type="dxa"/>
            <w:shd w:val="clear" w:color="auto" w:fill="F2F2F2" w:themeFill="background1" w:themeFillShade="F2"/>
            <w:vAlign w:val="center"/>
          </w:tcPr>
          <w:p w14:paraId="618219D4" w14:textId="77777777" w:rsidR="00256DA7" w:rsidRPr="007C0D3C" w:rsidRDefault="00E9069F" w:rsidP="003A782C">
            <w:pPr>
              <w:spacing w:before="0"/>
              <w:jc w:val="center"/>
            </w:pPr>
            <w:r w:rsidRPr="007C0D3C">
              <w:t>A</w:t>
            </w:r>
          </w:p>
        </w:tc>
        <w:tc>
          <w:tcPr>
            <w:tcW w:w="430" w:type="dxa"/>
            <w:shd w:val="clear" w:color="auto" w:fill="F2F2F2" w:themeFill="background1" w:themeFillShade="F2"/>
            <w:vAlign w:val="center"/>
          </w:tcPr>
          <w:p w14:paraId="618219D5" w14:textId="77777777" w:rsidR="00256DA7" w:rsidRPr="007C0D3C" w:rsidRDefault="00E9069F" w:rsidP="003A782C">
            <w:pPr>
              <w:spacing w:before="0"/>
              <w:jc w:val="center"/>
            </w:pPr>
            <w:r w:rsidRPr="007C0D3C">
              <w:t>B</w:t>
            </w:r>
          </w:p>
        </w:tc>
        <w:tc>
          <w:tcPr>
            <w:tcW w:w="430" w:type="dxa"/>
            <w:shd w:val="clear" w:color="auto" w:fill="F2F2F2" w:themeFill="background1" w:themeFillShade="F2"/>
            <w:vAlign w:val="center"/>
          </w:tcPr>
          <w:p w14:paraId="618219D6" w14:textId="77777777" w:rsidR="00256DA7" w:rsidRPr="007C0D3C" w:rsidRDefault="00E9069F" w:rsidP="003A782C">
            <w:pPr>
              <w:spacing w:before="0"/>
              <w:jc w:val="center"/>
            </w:pPr>
            <w:r w:rsidRPr="007C0D3C">
              <w:t>B</w:t>
            </w:r>
          </w:p>
        </w:tc>
      </w:tr>
      <w:tr w:rsidR="003A782C" w14:paraId="618219E6" w14:textId="77777777" w:rsidTr="003A782C">
        <w:trPr>
          <w:trHeight w:val="425"/>
        </w:trPr>
        <w:tc>
          <w:tcPr>
            <w:tcW w:w="491" w:type="dxa"/>
            <w:shd w:val="clear" w:color="auto" w:fill="D9D9D9" w:themeFill="background1" w:themeFillShade="D9"/>
            <w:vAlign w:val="center"/>
          </w:tcPr>
          <w:p w14:paraId="618219D8" w14:textId="77777777" w:rsidR="00256DA7" w:rsidRPr="007C0D3C" w:rsidRDefault="00E9069F" w:rsidP="003A782C">
            <w:pPr>
              <w:spacing w:before="0"/>
              <w:rPr>
                <w:b/>
              </w:rPr>
            </w:pPr>
            <w:r w:rsidRPr="007C0D3C">
              <w:rPr>
                <w:b/>
              </w:rPr>
              <w:t>8</w:t>
            </w:r>
          </w:p>
        </w:tc>
        <w:tc>
          <w:tcPr>
            <w:tcW w:w="2953" w:type="dxa"/>
            <w:shd w:val="clear" w:color="auto" w:fill="D9D9D9" w:themeFill="background1" w:themeFillShade="D9"/>
            <w:vAlign w:val="center"/>
          </w:tcPr>
          <w:p w14:paraId="618219D9" w14:textId="77777777" w:rsidR="00256DA7" w:rsidRPr="007C0D3C" w:rsidRDefault="00E9069F" w:rsidP="003A782C">
            <w:pPr>
              <w:spacing w:before="0"/>
              <w:jc w:val="left"/>
              <w:rPr>
                <w:b/>
              </w:rPr>
            </w:pPr>
            <w:r w:rsidRPr="007C0D3C">
              <w:rPr>
                <w:b/>
              </w:rPr>
              <w:t>Corrosive</w:t>
            </w:r>
          </w:p>
        </w:tc>
        <w:tc>
          <w:tcPr>
            <w:tcW w:w="505" w:type="dxa"/>
            <w:shd w:val="clear" w:color="auto" w:fill="D9D9D9" w:themeFill="background1" w:themeFillShade="D9"/>
            <w:vAlign w:val="center"/>
          </w:tcPr>
          <w:p w14:paraId="618219DA" w14:textId="77777777" w:rsidR="00256DA7" w:rsidRPr="007C0D3C" w:rsidRDefault="00E9069F" w:rsidP="003A782C">
            <w:pPr>
              <w:spacing w:before="0"/>
              <w:jc w:val="center"/>
            </w:pPr>
            <w:r w:rsidRPr="007C0D3C">
              <w:t>B</w:t>
            </w:r>
          </w:p>
        </w:tc>
        <w:tc>
          <w:tcPr>
            <w:tcW w:w="505" w:type="dxa"/>
            <w:shd w:val="clear" w:color="auto" w:fill="D9D9D9" w:themeFill="background1" w:themeFillShade="D9"/>
            <w:vAlign w:val="center"/>
          </w:tcPr>
          <w:p w14:paraId="618219DB" w14:textId="77777777" w:rsidR="00256DA7" w:rsidRPr="007C0D3C" w:rsidRDefault="00E9069F" w:rsidP="003A782C">
            <w:pPr>
              <w:spacing w:before="0"/>
              <w:jc w:val="center"/>
            </w:pPr>
            <w:r w:rsidRPr="007C0D3C">
              <w:t>B</w:t>
            </w:r>
          </w:p>
        </w:tc>
        <w:tc>
          <w:tcPr>
            <w:tcW w:w="506" w:type="dxa"/>
            <w:shd w:val="clear" w:color="auto" w:fill="D9D9D9" w:themeFill="background1" w:themeFillShade="D9"/>
            <w:vAlign w:val="center"/>
          </w:tcPr>
          <w:p w14:paraId="618219DC" w14:textId="77777777" w:rsidR="00256DA7" w:rsidRPr="007C0D3C" w:rsidRDefault="00E9069F" w:rsidP="003A782C">
            <w:pPr>
              <w:spacing w:before="0"/>
              <w:jc w:val="center"/>
            </w:pPr>
            <w:r w:rsidRPr="007C0D3C">
              <w:t>B</w:t>
            </w:r>
          </w:p>
        </w:tc>
        <w:tc>
          <w:tcPr>
            <w:tcW w:w="430" w:type="dxa"/>
            <w:shd w:val="clear" w:color="auto" w:fill="D9D9D9" w:themeFill="background1" w:themeFillShade="D9"/>
            <w:vAlign w:val="center"/>
          </w:tcPr>
          <w:p w14:paraId="618219DD" w14:textId="77777777" w:rsidR="00256DA7" w:rsidRPr="007C0D3C" w:rsidRDefault="00E9069F" w:rsidP="003A782C">
            <w:pPr>
              <w:spacing w:before="0"/>
              <w:jc w:val="center"/>
            </w:pPr>
            <w:r w:rsidRPr="007C0D3C">
              <w:t>B</w:t>
            </w:r>
          </w:p>
        </w:tc>
        <w:tc>
          <w:tcPr>
            <w:tcW w:w="506" w:type="dxa"/>
            <w:shd w:val="clear" w:color="auto" w:fill="D9D9D9" w:themeFill="background1" w:themeFillShade="D9"/>
            <w:vAlign w:val="center"/>
          </w:tcPr>
          <w:p w14:paraId="618219DE" w14:textId="77777777" w:rsidR="00256DA7" w:rsidRPr="007C0D3C" w:rsidRDefault="00E9069F" w:rsidP="003A782C">
            <w:pPr>
              <w:spacing w:before="0"/>
              <w:jc w:val="center"/>
            </w:pPr>
            <w:r w:rsidRPr="007C0D3C">
              <w:t>B</w:t>
            </w:r>
          </w:p>
        </w:tc>
        <w:tc>
          <w:tcPr>
            <w:tcW w:w="506" w:type="dxa"/>
            <w:shd w:val="clear" w:color="auto" w:fill="D9D9D9" w:themeFill="background1" w:themeFillShade="D9"/>
            <w:vAlign w:val="center"/>
          </w:tcPr>
          <w:p w14:paraId="618219DF" w14:textId="77777777" w:rsidR="00256DA7" w:rsidRPr="007C0D3C" w:rsidRDefault="00E9069F" w:rsidP="003A782C">
            <w:pPr>
              <w:spacing w:before="0"/>
              <w:jc w:val="center"/>
            </w:pPr>
            <w:r w:rsidRPr="007C0D3C">
              <w:t>B</w:t>
            </w:r>
          </w:p>
        </w:tc>
        <w:tc>
          <w:tcPr>
            <w:tcW w:w="506" w:type="dxa"/>
            <w:shd w:val="clear" w:color="auto" w:fill="D9D9D9" w:themeFill="background1" w:themeFillShade="D9"/>
            <w:vAlign w:val="center"/>
          </w:tcPr>
          <w:p w14:paraId="618219E0" w14:textId="77777777" w:rsidR="00256DA7" w:rsidRPr="007C0D3C" w:rsidRDefault="00E9069F" w:rsidP="003A782C">
            <w:pPr>
              <w:spacing w:before="0"/>
              <w:jc w:val="center"/>
            </w:pPr>
            <w:r w:rsidRPr="007C0D3C">
              <w:t>D</w:t>
            </w:r>
          </w:p>
        </w:tc>
        <w:tc>
          <w:tcPr>
            <w:tcW w:w="506" w:type="dxa"/>
            <w:shd w:val="clear" w:color="auto" w:fill="D9D9D9" w:themeFill="background1" w:themeFillShade="D9"/>
            <w:vAlign w:val="center"/>
          </w:tcPr>
          <w:p w14:paraId="618219E1" w14:textId="77777777" w:rsidR="00256DA7" w:rsidRPr="007C0D3C" w:rsidRDefault="00E9069F" w:rsidP="003A782C">
            <w:pPr>
              <w:spacing w:before="0"/>
              <w:jc w:val="center"/>
            </w:pPr>
            <w:r w:rsidRPr="007C0D3C">
              <w:t>D</w:t>
            </w:r>
          </w:p>
        </w:tc>
        <w:tc>
          <w:tcPr>
            <w:tcW w:w="506" w:type="dxa"/>
            <w:shd w:val="clear" w:color="auto" w:fill="D9D9D9" w:themeFill="background1" w:themeFillShade="D9"/>
            <w:vAlign w:val="center"/>
          </w:tcPr>
          <w:p w14:paraId="618219E2" w14:textId="77777777" w:rsidR="00256DA7" w:rsidRPr="007C0D3C" w:rsidRDefault="00E9069F" w:rsidP="003A782C">
            <w:pPr>
              <w:spacing w:before="0"/>
              <w:jc w:val="center"/>
            </w:pPr>
            <w:r w:rsidRPr="007C0D3C">
              <w:t>D</w:t>
            </w:r>
          </w:p>
        </w:tc>
        <w:tc>
          <w:tcPr>
            <w:tcW w:w="506" w:type="dxa"/>
            <w:shd w:val="clear" w:color="auto" w:fill="D9D9D9" w:themeFill="background1" w:themeFillShade="D9"/>
            <w:vAlign w:val="center"/>
          </w:tcPr>
          <w:p w14:paraId="618219E3" w14:textId="77777777" w:rsidR="00256DA7" w:rsidRPr="007C0D3C" w:rsidRDefault="00E9069F" w:rsidP="003A782C">
            <w:pPr>
              <w:spacing w:before="0"/>
              <w:jc w:val="center"/>
            </w:pPr>
            <w:r w:rsidRPr="007C0D3C">
              <w:t>B</w:t>
            </w:r>
          </w:p>
        </w:tc>
        <w:tc>
          <w:tcPr>
            <w:tcW w:w="430" w:type="dxa"/>
            <w:shd w:val="clear" w:color="auto" w:fill="D9D9D9" w:themeFill="background1" w:themeFillShade="D9"/>
            <w:vAlign w:val="center"/>
          </w:tcPr>
          <w:p w14:paraId="618219E4" w14:textId="77777777" w:rsidR="00256DA7" w:rsidRPr="007C0D3C" w:rsidRDefault="00E9069F" w:rsidP="003A782C">
            <w:pPr>
              <w:spacing w:before="0"/>
              <w:jc w:val="center"/>
            </w:pPr>
            <w:r w:rsidRPr="007C0D3C">
              <w:t>G</w:t>
            </w:r>
          </w:p>
        </w:tc>
        <w:tc>
          <w:tcPr>
            <w:tcW w:w="430" w:type="dxa"/>
            <w:shd w:val="clear" w:color="auto" w:fill="D9D9D9" w:themeFill="background1" w:themeFillShade="D9"/>
            <w:vAlign w:val="center"/>
          </w:tcPr>
          <w:p w14:paraId="618219E5" w14:textId="77777777" w:rsidR="00256DA7" w:rsidRPr="007C0D3C" w:rsidRDefault="00E9069F" w:rsidP="003A782C">
            <w:pPr>
              <w:spacing w:before="0"/>
              <w:jc w:val="center"/>
            </w:pPr>
            <w:r w:rsidRPr="007C0D3C">
              <w:t>B</w:t>
            </w:r>
          </w:p>
        </w:tc>
      </w:tr>
      <w:tr w:rsidR="003A782C" w14:paraId="618219F5" w14:textId="77777777" w:rsidTr="003A782C">
        <w:trPr>
          <w:trHeight w:val="425"/>
        </w:trPr>
        <w:tc>
          <w:tcPr>
            <w:tcW w:w="491" w:type="dxa"/>
            <w:shd w:val="clear" w:color="auto" w:fill="F2F2F2" w:themeFill="background1" w:themeFillShade="F2"/>
            <w:vAlign w:val="center"/>
          </w:tcPr>
          <w:p w14:paraId="618219E7" w14:textId="77777777" w:rsidR="00256DA7" w:rsidRPr="007C0D3C" w:rsidRDefault="00E9069F" w:rsidP="003A782C">
            <w:pPr>
              <w:spacing w:before="0"/>
              <w:rPr>
                <w:b/>
              </w:rPr>
            </w:pPr>
            <w:r w:rsidRPr="007C0D3C">
              <w:rPr>
                <w:b/>
              </w:rPr>
              <w:t>9</w:t>
            </w:r>
          </w:p>
        </w:tc>
        <w:tc>
          <w:tcPr>
            <w:tcW w:w="2953" w:type="dxa"/>
            <w:shd w:val="clear" w:color="auto" w:fill="F2F2F2" w:themeFill="background1" w:themeFillShade="F2"/>
            <w:vAlign w:val="center"/>
          </w:tcPr>
          <w:p w14:paraId="618219E8" w14:textId="77777777" w:rsidR="00256DA7" w:rsidRPr="007C0D3C" w:rsidRDefault="00E9069F" w:rsidP="003A782C">
            <w:pPr>
              <w:spacing w:before="0"/>
              <w:jc w:val="left"/>
              <w:rPr>
                <w:b/>
              </w:rPr>
            </w:pPr>
            <w:r w:rsidRPr="007C0D3C">
              <w:rPr>
                <w:b/>
              </w:rPr>
              <w:t xml:space="preserve">Miscellaneous dangerous goods </w:t>
            </w:r>
          </w:p>
        </w:tc>
        <w:tc>
          <w:tcPr>
            <w:tcW w:w="505" w:type="dxa"/>
            <w:shd w:val="clear" w:color="auto" w:fill="F2F2F2" w:themeFill="background1" w:themeFillShade="F2"/>
            <w:vAlign w:val="center"/>
          </w:tcPr>
          <w:p w14:paraId="618219E9" w14:textId="77777777" w:rsidR="00256DA7" w:rsidRPr="007C0D3C" w:rsidRDefault="00E9069F" w:rsidP="003A782C">
            <w:pPr>
              <w:spacing w:before="0"/>
              <w:jc w:val="center"/>
            </w:pPr>
            <w:r w:rsidRPr="007C0D3C">
              <w:t>B</w:t>
            </w:r>
          </w:p>
        </w:tc>
        <w:tc>
          <w:tcPr>
            <w:tcW w:w="505" w:type="dxa"/>
            <w:shd w:val="clear" w:color="auto" w:fill="F2F2F2" w:themeFill="background1" w:themeFillShade="F2"/>
            <w:vAlign w:val="center"/>
          </w:tcPr>
          <w:p w14:paraId="618219EA" w14:textId="77777777" w:rsidR="00256DA7" w:rsidRPr="007C0D3C" w:rsidRDefault="00E9069F" w:rsidP="003A782C">
            <w:pPr>
              <w:spacing w:before="0"/>
              <w:jc w:val="center"/>
            </w:pPr>
            <w:r w:rsidRPr="007C0D3C">
              <w:t>B</w:t>
            </w:r>
          </w:p>
        </w:tc>
        <w:tc>
          <w:tcPr>
            <w:tcW w:w="506" w:type="dxa"/>
            <w:shd w:val="clear" w:color="auto" w:fill="F2F2F2" w:themeFill="background1" w:themeFillShade="F2"/>
            <w:vAlign w:val="center"/>
          </w:tcPr>
          <w:p w14:paraId="618219EB" w14:textId="77777777" w:rsidR="00256DA7" w:rsidRPr="007C0D3C" w:rsidRDefault="00E9069F" w:rsidP="003A782C">
            <w:pPr>
              <w:spacing w:before="0"/>
              <w:jc w:val="center"/>
            </w:pPr>
            <w:r w:rsidRPr="007C0D3C">
              <w:t>B</w:t>
            </w:r>
          </w:p>
        </w:tc>
        <w:tc>
          <w:tcPr>
            <w:tcW w:w="430" w:type="dxa"/>
            <w:shd w:val="clear" w:color="auto" w:fill="F2F2F2" w:themeFill="background1" w:themeFillShade="F2"/>
            <w:vAlign w:val="center"/>
          </w:tcPr>
          <w:p w14:paraId="618219EC" w14:textId="77777777" w:rsidR="00256DA7" w:rsidRPr="007C0D3C" w:rsidRDefault="00E9069F" w:rsidP="003A782C">
            <w:pPr>
              <w:spacing w:before="0"/>
              <w:jc w:val="center"/>
            </w:pPr>
            <w:r w:rsidRPr="007C0D3C">
              <w:t>B</w:t>
            </w:r>
          </w:p>
        </w:tc>
        <w:tc>
          <w:tcPr>
            <w:tcW w:w="506" w:type="dxa"/>
            <w:shd w:val="clear" w:color="auto" w:fill="F2F2F2" w:themeFill="background1" w:themeFillShade="F2"/>
            <w:vAlign w:val="center"/>
          </w:tcPr>
          <w:p w14:paraId="618219ED" w14:textId="77777777" w:rsidR="00256DA7" w:rsidRPr="007C0D3C" w:rsidRDefault="00E9069F" w:rsidP="003A782C">
            <w:pPr>
              <w:spacing w:before="0"/>
              <w:jc w:val="center"/>
            </w:pPr>
            <w:r w:rsidRPr="007C0D3C">
              <w:t>B</w:t>
            </w:r>
          </w:p>
        </w:tc>
        <w:tc>
          <w:tcPr>
            <w:tcW w:w="506" w:type="dxa"/>
            <w:shd w:val="clear" w:color="auto" w:fill="F2F2F2" w:themeFill="background1" w:themeFillShade="F2"/>
            <w:vAlign w:val="center"/>
          </w:tcPr>
          <w:p w14:paraId="618219EE" w14:textId="77777777" w:rsidR="00256DA7" w:rsidRPr="007C0D3C" w:rsidRDefault="00E9069F" w:rsidP="003A782C">
            <w:pPr>
              <w:spacing w:before="0"/>
              <w:jc w:val="center"/>
            </w:pPr>
            <w:r w:rsidRPr="007C0D3C">
              <w:t>B</w:t>
            </w:r>
          </w:p>
        </w:tc>
        <w:tc>
          <w:tcPr>
            <w:tcW w:w="506" w:type="dxa"/>
            <w:shd w:val="clear" w:color="auto" w:fill="F2F2F2" w:themeFill="background1" w:themeFillShade="F2"/>
            <w:vAlign w:val="center"/>
          </w:tcPr>
          <w:p w14:paraId="618219EF" w14:textId="77777777" w:rsidR="00256DA7" w:rsidRPr="007C0D3C" w:rsidRDefault="00E9069F" w:rsidP="003A782C">
            <w:pPr>
              <w:spacing w:before="0"/>
              <w:jc w:val="center"/>
            </w:pPr>
            <w:r w:rsidRPr="007C0D3C">
              <w:t>B</w:t>
            </w:r>
          </w:p>
        </w:tc>
        <w:tc>
          <w:tcPr>
            <w:tcW w:w="506" w:type="dxa"/>
            <w:shd w:val="clear" w:color="auto" w:fill="F2F2F2" w:themeFill="background1" w:themeFillShade="F2"/>
            <w:vAlign w:val="center"/>
          </w:tcPr>
          <w:p w14:paraId="618219F0" w14:textId="77777777" w:rsidR="00256DA7" w:rsidRPr="007C0D3C" w:rsidRDefault="00E9069F" w:rsidP="003A782C">
            <w:pPr>
              <w:spacing w:before="0"/>
              <w:jc w:val="center"/>
            </w:pPr>
            <w:r w:rsidRPr="007C0D3C">
              <w:t>F</w:t>
            </w:r>
          </w:p>
        </w:tc>
        <w:tc>
          <w:tcPr>
            <w:tcW w:w="506" w:type="dxa"/>
            <w:shd w:val="clear" w:color="auto" w:fill="F2F2F2" w:themeFill="background1" w:themeFillShade="F2"/>
            <w:vAlign w:val="center"/>
          </w:tcPr>
          <w:p w14:paraId="618219F1" w14:textId="77777777" w:rsidR="00256DA7" w:rsidRPr="007C0D3C" w:rsidRDefault="00E9069F" w:rsidP="003A782C">
            <w:pPr>
              <w:spacing w:before="0"/>
              <w:jc w:val="center"/>
            </w:pPr>
            <w:r w:rsidRPr="007C0D3C">
              <w:t>F</w:t>
            </w:r>
          </w:p>
        </w:tc>
        <w:tc>
          <w:tcPr>
            <w:tcW w:w="506" w:type="dxa"/>
            <w:shd w:val="clear" w:color="auto" w:fill="F2F2F2" w:themeFill="background1" w:themeFillShade="F2"/>
            <w:vAlign w:val="center"/>
          </w:tcPr>
          <w:p w14:paraId="618219F2" w14:textId="77777777" w:rsidR="00256DA7" w:rsidRPr="007C0D3C" w:rsidRDefault="00E9069F" w:rsidP="003A782C">
            <w:pPr>
              <w:spacing w:before="0"/>
              <w:jc w:val="center"/>
            </w:pPr>
            <w:r w:rsidRPr="007C0D3C">
              <w:t>B</w:t>
            </w:r>
          </w:p>
        </w:tc>
        <w:tc>
          <w:tcPr>
            <w:tcW w:w="430" w:type="dxa"/>
            <w:shd w:val="clear" w:color="auto" w:fill="F2F2F2" w:themeFill="background1" w:themeFillShade="F2"/>
            <w:vAlign w:val="center"/>
          </w:tcPr>
          <w:p w14:paraId="618219F3" w14:textId="77777777" w:rsidR="00256DA7" w:rsidRPr="007C0D3C" w:rsidRDefault="00E9069F" w:rsidP="003A782C">
            <w:pPr>
              <w:spacing w:before="0"/>
              <w:jc w:val="center"/>
            </w:pPr>
            <w:r w:rsidRPr="007C0D3C">
              <w:t>B</w:t>
            </w:r>
          </w:p>
        </w:tc>
        <w:tc>
          <w:tcPr>
            <w:tcW w:w="430" w:type="dxa"/>
            <w:shd w:val="clear" w:color="auto" w:fill="F2F2F2" w:themeFill="background1" w:themeFillShade="F2"/>
            <w:vAlign w:val="center"/>
          </w:tcPr>
          <w:p w14:paraId="618219F4" w14:textId="77777777" w:rsidR="00256DA7" w:rsidRPr="007C0D3C" w:rsidRDefault="00E9069F" w:rsidP="003A782C">
            <w:pPr>
              <w:spacing w:before="0"/>
              <w:jc w:val="center"/>
            </w:pPr>
            <w:r w:rsidRPr="007C0D3C">
              <w:t>A</w:t>
            </w:r>
          </w:p>
        </w:tc>
      </w:tr>
    </w:tbl>
    <w:p w14:paraId="618219F6" w14:textId="77777777" w:rsidR="00256DA7" w:rsidRPr="0032625C" w:rsidRDefault="00E9069F" w:rsidP="0032625C">
      <w:pPr>
        <w:spacing w:before="0"/>
        <w:rPr>
          <w:sz w:val="16"/>
          <w:szCs w:val="16"/>
        </w:rPr>
      </w:pPr>
      <w:r w:rsidRPr="0032625C">
        <w:rPr>
          <w:sz w:val="16"/>
          <w:szCs w:val="16"/>
        </w:rPr>
        <w:t xml:space="preserve">Note: In this table, combustible liquids should be included with Class 3.  </w:t>
      </w:r>
    </w:p>
    <w:p w14:paraId="618219F7" w14:textId="6DF98C34" w:rsidR="00256DA7" w:rsidRPr="007C0D3C" w:rsidRDefault="00E9069F" w:rsidP="00794365">
      <w:pPr>
        <w:tabs>
          <w:tab w:val="left" w:pos="426"/>
        </w:tabs>
        <w:ind w:left="426" w:hanging="426"/>
      </w:pPr>
      <w:r w:rsidRPr="00794365">
        <w:t>A</w:t>
      </w:r>
      <w:r w:rsidRPr="007C0D3C">
        <w:t xml:space="preserve"> -</w:t>
      </w:r>
      <w:r w:rsidR="00794365">
        <w:tab/>
      </w:r>
      <w:r w:rsidRPr="007C0D3C">
        <w:t xml:space="preserve">Most dangerous goods of the same class have similar primary hazards and are usually considered to be compatible. </w:t>
      </w:r>
    </w:p>
    <w:p w14:paraId="618219F8" w14:textId="19848FDE" w:rsidR="00256DA7" w:rsidRPr="007C0D3C" w:rsidRDefault="00E9069F" w:rsidP="003A782C">
      <w:pPr>
        <w:tabs>
          <w:tab w:val="left" w:pos="426"/>
        </w:tabs>
        <w:ind w:left="426" w:hanging="426"/>
      </w:pPr>
      <w:r w:rsidRPr="007C0D3C">
        <w:t>B -</w:t>
      </w:r>
      <w:r w:rsidR="00794365">
        <w:tab/>
      </w:r>
      <w:r w:rsidRPr="007C0D3C">
        <w:t xml:space="preserve">With a few exceptions, which should be indicated on the SDS, goods of these two classes are usually non-reactive with each other. However, in an emergency such as a spill, leak or fire, the presence of the second class may lead to different hazards or increased risk such that additional control measures are required. </w:t>
      </w:r>
    </w:p>
    <w:p w14:paraId="618219F9" w14:textId="0D8FFD8F" w:rsidR="00256DA7" w:rsidRPr="007C0D3C" w:rsidRDefault="00E9069F" w:rsidP="003A782C">
      <w:pPr>
        <w:tabs>
          <w:tab w:val="left" w:pos="426"/>
        </w:tabs>
        <w:ind w:left="426" w:hanging="426"/>
      </w:pPr>
      <w:r w:rsidRPr="007C0D3C">
        <w:t>C -</w:t>
      </w:r>
      <w:r w:rsidR="00794365">
        <w:tab/>
      </w:r>
      <w:r w:rsidRPr="007C0D3C">
        <w:t xml:space="preserve">While goods of these two classes are usually non-reactive with each other, a fire involving the fire risk goods may lead to the release of large clouds of toxic gases or vapours. </w:t>
      </w:r>
    </w:p>
    <w:p w14:paraId="618219FA" w14:textId="67FF1C7B" w:rsidR="00256DA7" w:rsidRPr="007C0D3C" w:rsidRDefault="00E9069F" w:rsidP="003A782C">
      <w:pPr>
        <w:tabs>
          <w:tab w:val="left" w:pos="426"/>
        </w:tabs>
        <w:ind w:left="426" w:hanging="426"/>
      </w:pPr>
      <w:r w:rsidRPr="007C0D3C">
        <w:t>D -</w:t>
      </w:r>
      <w:r w:rsidR="00794365">
        <w:tab/>
      </w:r>
      <w:r w:rsidRPr="007C0D3C">
        <w:t xml:space="preserve">Goods of these two classes are likely to interact with each other in such a way as to significantly </w:t>
      </w:r>
      <w:proofErr w:type="gramStart"/>
      <w:r w:rsidRPr="007C0D3C">
        <w:t>increase</w:t>
      </w:r>
      <w:proofErr w:type="gramEnd"/>
      <w:r w:rsidRPr="007C0D3C">
        <w:t xml:space="preserve"> risk. In some cases, interaction may result in fire or evolution of toxic vapours. For those that do not interact, a fire involving one may be violently accelerated by the presence of the other. These classes should not be kept in the same area unless it can be demonstrated that the risks are fully controlled. </w:t>
      </w:r>
    </w:p>
    <w:p w14:paraId="618219FB" w14:textId="40F48A1A" w:rsidR="00256DA7" w:rsidRPr="007C0D3C" w:rsidRDefault="00E9069F" w:rsidP="003A782C">
      <w:pPr>
        <w:tabs>
          <w:tab w:val="left" w:pos="426"/>
        </w:tabs>
        <w:ind w:left="426" w:hanging="426"/>
      </w:pPr>
      <w:r w:rsidRPr="007C0D3C">
        <w:t>E -</w:t>
      </w:r>
      <w:r w:rsidR="00794365">
        <w:tab/>
      </w:r>
      <w:r w:rsidRPr="007C0D3C">
        <w:t xml:space="preserve">If the Division 2.2 has a Subsidiary Risk 5.1, then this is D, otherwise it is B.  </w:t>
      </w:r>
    </w:p>
    <w:p w14:paraId="618219FC" w14:textId="0062E51C" w:rsidR="00256DA7" w:rsidRPr="007C0D3C" w:rsidRDefault="00E9069F" w:rsidP="003A782C">
      <w:pPr>
        <w:tabs>
          <w:tab w:val="left" w:pos="426"/>
        </w:tabs>
        <w:ind w:left="426" w:hanging="426"/>
      </w:pPr>
      <w:r w:rsidRPr="007C0D3C">
        <w:t>F -</w:t>
      </w:r>
      <w:r w:rsidR="00794365">
        <w:tab/>
      </w:r>
      <w:r w:rsidRPr="007C0D3C">
        <w:t xml:space="preserve">If the Division 6.1 or 9 is a fire risk substance, then this is D, otherwise it is B. </w:t>
      </w:r>
    </w:p>
    <w:p w14:paraId="618219FD" w14:textId="6CFC1898" w:rsidR="00256DA7" w:rsidRPr="007C0D3C" w:rsidRDefault="00E9069F" w:rsidP="003A782C">
      <w:pPr>
        <w:tabs>
          <w:tab w:val="left" w:pos="426"/>
        </w:tabs>
        <w:ind w:left="426" w:hanging="426"/>
      </w:pPr>
      <w:r w:rsidRPr="007C0D3C">
        <w:t>G -</w:t>
      </w:r>
      <w:r w:rsidR="00794365">
        <w:tab/>
      </w:r>
      <w:r w:rsidRPr="007C0D3C">
        <w:t>If one material is a concentrated, strong acid and the other is a concentrated, strong alkali, then this is D, otherwise it is A.</w:t>
      </w:r>
    </w:p>
    <w:p w14:paraId="61821A00" w14:textId="77777777" w:rsidR="003E319D" w:rsidRDefault="00E9069F" w:rsidP="005E44A4">
      <w:pPr>
        <w:pStyle w:val="Heading2"/>
      </w:pPr>
      <w:bookmarkStart w:id="126" w:name="_Toc19005534"/>
      <w:bookmarkStart w:id="127" w:name="_Toc101438980"/>
      <w:r>
        <w:lastRenderedPageBreak/>
        <w:t>10.4</w:t>
      </w:r>
      <w:r w:rsidR="00D92E5E">
        <w:t xml:space="preserve">   </w:t>
      </w:r>
      <w:r>
        <w:t>Decanting</w:t>
      </w:r>
      <w:bookmarkEnd w:id="126"/>
      <w:bookmarkEnd w:id="127"/>
      <w:r>
        <w:t xml:space="preserve"> </w:t>
      </w:r>
    </w:p>
    <w:p w14:paraId="61821A01" w14:textId="593D72B5" w:rsidR="003E319D" w:rsidRDefault="00E9069F" w:rsidP="00E27BFA">
      <w:r>
        <w:t xml:space="preserve">Where reasonably practicable chemicals should be kept in their original container with the original labelling from the manufacturer/supplier. Where chemicals are </w:t>
      </w:r>
      <w:proofErr w:type="gramStart"/>
      <w:r>
        <w:t>decanted</w:t>
      </w:r>
      <w:proofErr w:type="gramEnd"/>
      <w:r>
        <w:t xml:space="preserve"> the new containers must be appropriate for the chemical they will hold and be correctly labelled </w:t>
      </w:r>
      <w:r w:rsidRPr="0032625C">
        <w:t>(</w:t>
      </w:r>
      <w:r w:rsidR="00353AD1">
        <w:t xml:space="preserve">see </w:t>
      </w:r>
      <w:r w:rsidRPr="0032625C">
        <w:t xml:space="preserve">section </w:t>
      </w:r>
      <w:r w:rsidR="00353AD1">
        <w:t>9.7.3</w:t>
      </w:r>
      <w:r w:rsidRPr="0032625C">
        <w:t>).</w:t>
      </w:r>
      <w:r>
        <w:t xml:space="preserve"> </w:t>
      </w:r>
    </w:p>
    <w:p w14:paraId="61821A02" w14:textId="77777777" w:rsidR="003E319D" w:rsidRDefault="00E9069F" w:rsidP="00E27BFA">
      <w:r>
        <w:t>Decanting chemicals in explosive atmospheres or chemicals that may produce explosive atmospheres require special arrangements that will not produce static electricity (</w:t>
      </w:r>
      <w:proofErr w:type="gramStart"/>
      <w:r>
        <w:t>e.g.</w:t>
      </w:r>
      <w:proofErr w:type="gramEnd"/>
      <w:r>
        <w:t xml:space="preserve"> </w:t>
      </w:r>
      <w:r w:rsidR="00832170">
        <w:t xml:space="preserve">fume </w:t>
      </w:r>
      <w:r w:rsidR="0032625C">
        <w:t>cupboards, earthing</w:t>
      </w:r>
      <w:r>
        <w:t xml:space="preserve"> equipment, non-synthetic protective garments). </w:t>
      </w:r>
      <w:r w:rsidR="004A470C">
        <w:t>Decanting shall not be performed in chemical stores</w:t>
      </w:r>
      <w:r w:rsidR="00353AD1">
        <w:t xml:space="preserve"> unless the stores have been specifically designed for decanting</w:t>
      </w:r>
      <w:r w:rsidR="004A470C">
        <w:t>.</w:t>
      </w:r>
    </w:p>
    <w:p w14:paraId="61821A03" w14:textId="77777777" w:rsidR="003E319D" w:rsidRDefault="00E9069F" w:rsidP="00E27BFA">
      <w:r>
        <w:t xml:space="preserve">Particular attention must be given to decanting chemicals that pose unique hazards such as: </w:t>
      </w:r>
    </w:p>
    <w:p w14:paraId="61821A04" w14:textId="25666279" w:rsidR="003E319D" w:rsidRDefault="00E9069F" w:rsidP="002D2118">
      <w:pPr>
        <w:pStyle w:val="Bullet1"/>
      </w:pPr>
      <w:r>
        <w:t xml:space="preserve">solvents which can create explosive </w:t>
      </w:r>
      <w:proofErr w:type="gramStart"/>
      <w:r>
        <w:t>atmospheres;</w:t>
      </w:r>
      <w:proofErr w:type="gramEnd"/>
      <w:r>
        <w:t xml:space="preserve"> </w:t>
      </w:r>
    </w:p>
    <w:p w14:paraId="61821A05" w14:textId="1B07C2DC" w:rsidR="00353AD1" w:rsidRDefault="00E9069F" w:rsidP="0032625C">
      <w:pPr>
        <w:pStyle w:val="Bullet1"/>
      </w:pPr>
      <w:r>
        <w:t>a</w:t>
      </w:r>
      <w:r w:rsidR="003E319D">
        <w:t>sphyxiants</w:t>
      </w:r>
      <w:r>
        <w:t>; and</w:t>
      </w:r>
    </w:p>
    <w:p w14:paraId="61821A06" w14:textId="13CB3A88" w:rsidR="003E319D" w:rsidRPr="00602FE8" w:rsidRDefault="00353AD1" w:rsidP="0032625C">
      <w:pPr>
        <w:pStyle w:val="Bullet1"/>
      </w:pPr>
      <w:r>
        <w:t xml:space="preserve">chemicals that </w:t>
      </w:r>
      <w:r w:rsidRPr="00602FE8">
        <w:t>are toxic by inhalation.</w:t>
      </w:r>
    </w:p>
    <w:p w14:paraId="61821A07" w14:textId="1161D9FB" w:rsidR="003E319D" w:rsidRPr="00602FE8" w:rsidRDefault="00E9069F" w:rsidP="005E44A4">
      <w:pPr>
        <w:pStyle w:val="Heading2"/>
      </w:pPr>
      <w:bookmarkStart w:id="128" w:name="_Toc19005535"/>
      <w:bookmarkStart w:id="129" w:name="_Toc101438981"/>
      <w:r w:rsidRPr="00602FE8">
        <w:t>10.5</w:t>
      </w:r>
      <w:r w:rsidR="002A2D7F" w:rsidRPr="00602FE8">
        <w:t xml:space="preserve">   </w:t>
      </w:r>
      <w:r w:rsidRPr="00602FE8">
        <w:t>Storage of Time Sensitive Chemicals</w:t>
      </w:r>
      <w:bookmarkEnd w:id="128"/>
      <w:bookmarkEnd w:id="129"/>
    </w:p>
    <w:p w14:paraId="3DEE1AB9" w14:textId="77777777" w:rsidR="00602FE8" w:rsidRDefault="00602FE8" w:rsidP="00602FE8">
      <w:r w:rsidRPr="00602FE8">
        <w:t>Time Sensitive Chemicals can degrade over time and develop additional hazards if not correctly maintained. These hazards have</w:t>
      </w:r>
      <w:r>
        <w:t xml:space="preserve"> the potential to cause significant injury to personnel and damage to surrounding infrastructure. A considerable number of chemicals stored and handled by Curtin are classified as time sensitive, this number includes both pure chemicals and mixtures. </w:t>
      </w:r>
    </w:p>
    <w:p w14:paraId="7283FFA6" w14:textId="77777777" w:rsidR="00602FE8" w:rsidRDefault="00602FE8" w:rsidP="00602FE8">
      <w:r w:rsidRPr="002932EF">
        <w:t>It is vital that all staff and students who handle or store chemicals are aware of the risk</w:t>
      </w:r>
      <w:r w:rsidRPr="00F700CF">
        <w:t>s</w:t>
      </w:r>
      <w:r w:rsidRPr="00C4524A">
        <w:t xml:space="preserve"> posed by time sensitive chemicals. Chemicals affected by these risks </w:t>
      </w:r>
      <w:proofErr w:type="gramStart"/>
      <w:r w:rsidRPr="00C4524A">
        <w:t>include:</w:t>
      </w:r>
      <w:proofErr w:type="gramEnd"/>
      <w:r w:rsidRPr="00C4524A">
        <w:t xml:space="preserve"> isopropyl alcohol (2-propanol), diethyl ether, tetrahydrofuran (THF), Chloroform, Picric Acid, Formic Acid and over </w:t>
      </w:r>
      <w:r>
        <w:t xml:space="preserve">200 others. </w:t>
      </w:r>
    </w:p>
    <w:p w14:paraId="4CF37858" w14:textId="77777777" w:rsidR="00602FE8" w:rsidRDefault="00602FE8" w:rsidP="00602FE8">
      <w:r w:rsidRPr="00DE6021">
        <w:t xml:space="preserve">The </w:t>
      </w:r>
      <w:r>
        <w:t>effective management of Time Sensitive Chemicals requires diligence in chemical labelling and marking, tracking, inspection, and chemical specific hazard management.</w:t>
      </w:r>
      <w:r w:rsidRPr="0043047F">
        <w:t xml:space="preserve"> </w:t>
      </w:r>
    </w:p>
    <w:p w14:paraId="335C9752" w14:textId="04583A72" w:rsidR="00602FE8" w:rsidRDefault="00602FE8" w:rsidP="00602FE8">
      <w:pPr>
        <w:spacing w:before="0"/>
      </w:pPr>
      <w:r>
        <w:t xml:space="preserve">Storage timeframes are critical. For this </w:t>
      </w:r>
      <w:proofErr w:type="gramStart"/>
      <w:r>
        <w:t>reason</w:t>
      </w:r>
      <w:proofErr w:type="gramEnd"/>
      <w:r>
        <w:t xml:space="preserve"> each classification of Time Sensitive Chemicals has a specified acceptable storage duration, none of which will exceed five years.</w:t>
      </w:r>
    </w:p>
    <w:p w14:paraId="47C6CAEE" w14:textId="7C4F360C" w:rsidR="003B2677" w:rsidRDefault="003B2677" w:rsidP="00602FE8">
      <w:pPr>
        <w:spacing w:before="0"/>
      </w:pPr>
    </w:p>
    <w:p w14:paraId="69C4188C" w14:textId="429618D8" w:rsidR="00D62420" w:rsidRPr="00F154A6" w:rsidRDefault="0009402A" w:rsidP="00D62420">
      <w:pPr>
        <w:pStyle w:val="WarningHeading"/>
        <w:spacing w:after="120"/>
      </w:pPr>
      <w:r>
        <w:rPr>
          <w:noProof/>
        </w:rPr>
        <mc:AlternateContent>
          <mc:Choice Requires="wps">
            <w:drawing>
              <wp:anchor distT="0" distB="0" distL="114300" distR="114300" simplePos="0" relativeHeight="251663360" behindDoc="0" locked="0" layoutInCell="1" allowOverlap="1" wp14:anchorId="2290EDF3" wp14:editId="3093E54D">
                <wp:simplePos x="0" y="0"/>
                <wp:positionH relativeFrom="margin">
                  <wp:align>left</wp:align>
                </wp:positionH>
                <wp:positionV relativeFrom="paragraph">
                  <wp:posOffset>14605</wp:posOffset>
                </wp:positionV>
                <wp:extent cx="5975350" cy="6350"/>
                <wp:effectExtent l="0" t="0" r="25400" b="31750"/>
                <wp:wrapNone/>
                <wp:docPr id="1" name="Straight Connector 1"/>
                <wp:cNvGraphicFramePr/>
                <a:graphic xmlns:a="http://schemas.openxmlformats.org/drawingml/2006/main">
                  <a:graphicData uri="http://schemas.microsoft.com/office/word/2010/wordprocessingShape">
                    <wps:wsp>
                      <wps:cNvCnPr/>
                      <wps:spPr>
                        <a:xfrm flipV="1">
                          <a:off x="0" y="0"/>
                          <a:ext cx="5975350" cy="6350"/>
                        </a:xfrm>
                        <a:prstGeom prst="lin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2A9B777" id="Straight Connector 1"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1.15pt" to="47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" strokecolor="red" strokeweight="1.5pt">
                <w10:wrap anchorx="margin"/>
              </v:line>
            </w:pict>
          </mc:Fallback>
        </mc:AlternateContent>
      </w:r>
      <w:r w:rsidR="00D62420" w:rsidRPr="00D62420">
        <w:t xml:space="preserve"> </w:t>
      </w:r>
      <w:r w:rsidR="00D62420" w:rsidRPr="00C735E6">
        <w:t>DANGER</w:t>
      </w:r>
      <w:r w:rsidR="00D62420">
        <w:t>!</w:t>
      </w:r>
    </w:p>
    <w:p w14:paraId="22EE9458" w14:textId="77777777" w:rsidR="00D62420" w:rsidRDefault="00D62420" w:rsidP="00D62420">
      <w:pPr>
        <w:rPr>
          <w:rStyle w:val="Emphasis"/>
          <w:rFonts w:eastAsiaTheme="majorEastAsia"/>
        </w:rPr>
      </w:pPr>
      <w:r w:rsidRPr="00C735E6">
        <w:rPr>
          <w:rStyle w:val="Emphasis"/>
          <w:rFonts w:eastAsiaTheme="majorEastAsia"/>
        </w:rPr>
        <w:t xml:space="preserve">Do not handle containers of </w:t>
      </w:r>
      <w:r>
        <w:rPr>
          <w:rStyle w:val="Emphasis"/>
          <w:rFonts w:eastAsiaTheme="majorEastAsia"/>
        </w:rPr>
        <w:t>Time-Sensitive Chemicals</w:t>
      </w:r>
      <w:r w:rsidRPr="00C735E6">
        <w:rPr>
          <w:rStyle w:val="Emphasis"/>
          <w:rFonts w:eastAsiaTheme="majorEastAsia"/>
        </w:rPr>
        <w:t xml:space="preserve"> that show signs of </w:t>
      </w:r>
      <w:r>
        <w:rPr>
          <w:rStyle w:val="Emphasis"/>
          <w:rFonts w:eastAsiaTheme="majorEastAsia"/>
        </w:rPr>
        <w:t>instability or inappropriate management, such as:</w:t>
      </w:r>
      <w:r w:rsidRPr="00C735E6">
        <w:rPr>
          <w:rStyle w:val="Emphasis"/>
          <w:rFonts w:eastAsiaTheme="majorEastAsia"/>
        </w:rPr>
        <w:t xml:space="preserve"> </w:t>
      </w:r>
    </w:p>
    <w:tbl>
      <w:tblPr>
        <w:tblW w:w="9780" w:type="dxa"/>
        <w:jc w:val="center"/>
        <w:tblLook w:val="04A0" w:firstRow="1" w:lastRow="0" w:firstColumn="1" w:lastColumn="0" w:noHBand="0" w:noVBand="1"/>
      </w:tblPr>
      <w:tblGrid>
        <w:gridCol w:w="4960"/>
        <w:gridCol w:w="4820"/>
      </w:tblGrid>
      <w:tr w:rsidR="00D62420" w:rsidRPr="00BE68C5" w14:paraId="7E592894" w14:textId="77777777" w:rsidTr="00131C47">
        <w:trPr>
          <w:jc w:val="center"/>
        </w:trPr>
        <w:tc>
          <w:tcPr>
            <w:tcW w:w="4960" w:type="dxa"/>
            <w:shd w:val="clear" w:color="auto" w:fill="auto"/>
          </w:tcPr>
          <w:p w14:paraId="35BDB382" w14:textId="77777777" w:rsidR="00D62420" w:rsidRDefault="00D62420" w:rsidP="00D62420">
            <w:pPr>
              <w:keepLines w:val="0"/>
              <w:numPr>
                <w:ilvl w:val="0"/>
                <w:numId w:val="14"/>
              </w:numPr>
              <w:spacing w:before="0" w:line="276" w:lineRule="auto"/>
              <w:ind w:left="465"/>
              <w:contextualSpacing/>
            </w:pPr>
            <w:r>
              <w:t xml:space="preserve">Lacking an inspection record </w:t>
            </w:r>
          </w:p>
          <w:p w14:paraId="499C5D44" w14:textId="77777777" w:rsidR="00D62420" w:rsidRDefault="00D62420" w:rsidP="00D62420">
            <w:pPr>
              <w:keepLines w:val="0"/>
              <w:numPr>
                <w:ilvl w:val="0"/>
                <w:numId w:val="14"/>
              </w:numPr>
              <w:spacing w:before="0" w:line="276" w:lineRule="auto"/>
              <w:ind w:left="465"/>
              <w:contextualSpacing/>
            </w:pPr>
            <w:r>
              <w:t xml:space="preserve">Age unknown, or age </w:t>
            </w:r>
            <w:proofErr w:type="gramStart"/>
            <w:r>
              <w:t>in excess of</w:t>
            </w:r>
            <w:proofErr w:type="gramEnd"/>
            <w:r>
              <w:t xml:space="preserve"> safe storage time</w:t>
            </w:r>
          </w:p>
          <w:p w14:paraId="0EB2C7C8" w14:textId="77777777" w:rsidR="00D62420" w:rsidRDefault="00D62420" w:rsidP="00D62420">
            <w:pPr>
              <w:keepLines w:val="0"/>
              <w:numPr>
                <w:ilvl w:val="0"/>
                <w:numId w:val="14"/>
              </w:numPr>
              <w:spacing w:before="0" w:line="276" w:lineRule="auto"/>
              <w:ind w:left="465"/>
              <w:contextualSpacing/>
            </w:pPr>
            <w:r>
              <w:t>Lacking a record of venting (Formic Acid)</w:t>
            </w:r>
          </w:p>
          <w:p w14:paraId="7BA70178" w14:textId="77777777" w:rsidR="00D62420" w:rsidRDefault="00D62420" w:rsidP="00D62420">
            <w:pPr>
              <w:keepLines w:val="0"/>
              <w:numPr>
                <w:ilvl w:val="0"/>
                <w:numId w:val="14"/>
              </w:numPr>
              <w:spacing w:before="0" w:line="276" w:lineRule="auto"/>
              <w:ind w:left="465"/>
              <w:contextualSpacing/>
            </w:pPr>
            <w:r>
              <w:t>Explosive when dry chemicals which appear dry</w:t>
            </w:r>
            <w:r w:rsidRPr="00BE68C5" w:rsidDel="006C083E">
              <w:t xml:space="preserve"> </w:t>
            </w:r>
          </w:p>
          <w:p w14:paraId="50F0532D" w14:textId="77777777" w:rsidR="00D62420" w:rsidRPr="00BE68C5" w:rsidRDefault="00D62420" w:rsidP="00D62420">
            <w:pPr>
              <w:keepLines w:val="0"/>
              <w:numPr>
                <w:ilvl w:val="0"/>
                <w:numId w:val="14"/>
              </w:numPr>
              <w:spacing w:before="0" w:line="276" w:lineRule="auto"/>
              <w:ind w:left="465"/>
              <w:contextualSpacing/>
            </w:pPr>
            <w:r>
              <w:t xml:space="preserve">Crystals present </w:t>
            </w:r>
            <w:r w:rsidRPr="005C4241">
              <w:t>around</w:t>
            </w:r>
            <w:r>
              <w:t xml:space="preserve"> or underneath </w:t>
            </w:r>
            <w:r w:rsidRPr="005C4241">
              <w:t>the cap</w:t>
            </w:r>
            <w:r>
              <w:t xml:space="preserve"> (a </w:t>
            </w:r>
            <w:r w:rsidRPr="00BE68C5">
              <w:t>“mossy” appearance</w:t>
            </w:r>
            <w:r>
              <w:t>)</w:t>
            </w:r>
          </w:p>
        </w:tc>
        <w:tc>
          <w:tcPr>
            <w:tcW w:w="4820" w:type="dxa"/>
            <w:shd w:val="clear" w:color="auto" w:fill="auto"/>
          </w:tcPr>
          <w:p w14:paraId="2EB3C57B" w14:textId="77777777" w:rsidR="00D62420" w:rsidRDefault="00D62420" w:rsidP="00D62420">
            <w:pPr>
              <w:keepLines w:val="0"/>
              <w:numPr>
                <w:ilvl w:val="0"/>
                <w:numId w:val="14"/>
              </w:numPr>
              <w:spacing w:before="0" w:line="276" w:lineRule="auto"/>
              <w:ind w:left="465"/>
              <w:contextualSpacing/>
            </w:pPr>
            <w:r>
              <w:t>A cloudy appearance</w:t>
            </w:r>
          </w:p>
          <w:p w14:paraId="41ABDB3F" w14:textId="77777777" w:rsidR="00D62420" w:rsidRPr="00441A4C" w:rsidRDefault="00D62420" w:rsidP="00D62420">
            <w:pPr>
              <w:keepLines w:val="0"/>
              <w:numPr>
                <w:ilvl w:val="0"/>
                <w:numId w:val="14"/>
              </w:numPr>
              <w:spacing w:before="0" w:line="276" w:lineRule="auto"/>
              <w:ind w:left="465"/>
              <w:contextualSpacing/>
            </w:pPr>
            <w:r>
              <w:t>C</w:t>
            </w:r>
            <w:r w:rsidRPr="005C4241">
              <w:t>rystals are present in the liquid</w:t>
            </w:r>
            <w:r>
              <w:t xml:space="preserve"> (peroxide forming chemicals)</w:t>
            </w:r>
            <w:r w:rsidRPr="005C4241">
              <w:rPr>
                <w:vertAlign w:val="superscript"/>
              </w:rPr>
              <w:t xml:space="preserve"> ‡</w:t>
            </w:r>
          </w:p>
          <w:p w14:paraId="7906D860" w14:textId="77777777" w:rsidR="00D62420" w:rsidRPr="00441A4C" w:rsidRDefault="00D62420" w:rsidP="00D62420">
            <w:pPr>
              <w:keepLines w:val="0"/>
              <w:numPr>
                <w:ilvl w:val="0"/>
                <w:numId w:val="14"/>
              </w:numPr>
              <w:spacing w:before="0" w:line="276" w:lineRule="auto"/>
              <w:ind w:left="465"/>
              <w:contextualSpacing/>
            </w:pPr>
            <w:r>
              <w:t>Liquid stratification</w:t>
            </w:r>
          </w:p>
          <w:p w14:paraId="16A7C893" w14:textId="77777777" w:rsidR="00D62420" w:rsidRPr="00441A4C" w:rsidRDefault="00D62420" w:rsidP="00D62420">
            <w:pPr>
              <w:keepLines w:val="0"/>
              <w:numPr>
                <w:ilvl w:val="0"/>
                <w:numId w:val="14"/>
              </w:numPr>
              <w:spacing w:before="0" w:line="276" w:lineRule="auto"/>
              <w:ind w:left="465"/>
              <w:contextualSpacing/>
            </w:pPr>
            <w:r>
              <w:t>C</w:t>
            </w:r>
            <w:r w:rsidRPr="005C4241">
              <w:t>rystals are present on the inside of the container</w:t>
            </w:r>
            <w:r w:rsidRPr="005C4241">
              <w:rPr>
                <w:vertAlign w:val="superscript"/>
              </w:rPr>
              <w:t>‡</w:t>
            </w:r>
          </w:p>
          <w:p w14:paraId="3DC65FE2" w14:textId="77777777" w:rsidR="00D62420" w:rsidRPr="00BE68C5" w:rsidRDefault="00D62420" w:rsidP="00D62420">
            <w:pPr>
              <w:keepLines w:val="0"/>
              <w:numPr>
                <w:ilvl w:val="0"/>
                <w:numId w:val="14"/>
              </w:numPr>
              <w:spacing w:before="0" w:line="276" w:lineRule="auto"/>
              <w:ind w:left="465"/>
              <w:contextualSpacing/>
            </w:pPr>
            <w:r w:rsidRPr="00BE68C5">
              <w:t>Discoloration of liquids</w:t>
            </w:r>
          </w:p>
        </w:tc>
      </w:tr>
    </w:tbl>
    <w:p w14:paraId="3D76C0E8" w14:textId="77777777" w:rsidR="00D62420" w:rsidRDefault="00D62420" w:rsidP="00D62420">
      <w:pPr>
        <w:tabs>
          <w:tab w:val="left" w:pos="754"/>
        </w:tabs>
        <w:spacing w:before="120"/>
        <w:ind w:left="567"/>
      </w:pPr>
      <w:r w:rsidRPr="00F154A6">
        <w:rPr>
          <w:rStyle w:val="Emphasis"/>
          <w:rFonts w:eastAsiaTheme="majorEastAsia"/>
          <w:b w:val="0"/>
          <w:i/>
          <w:sz w:val="16"/>
        </w:rPr>
        <w:t>*</w:t>
      </w:r>
      <w:r w:rsidRPr="005C4241">
        <w:rPr>
          <w:rStyle w:val="Emphasis"/>
          <w:rFonts w:eastAsiaTheme="majorEastAsia"/>
          <w:b w:val="0"/>
          <w:i/>
        </w:rPr>
        <w:t xml:space="preserve"> </w:t>
      </w:r>
      <w:r>
        <w:rPr>
          <w:rStyle w:val="Emphasis"/>
          <w:rFonts w:eastAsiaTheme="majorEastAsia"/>
          <w:b w:val="0"/>
          <w:i/>
        </w:rPr>
        <w:tab/>
      </w:r>
      <w:r w:rsidRPr="004B110C">
        <w:rPr>
          <w:rStyle w:val="Emphasis"/>
          <w:rFonts w:eastAsiaTheme="majorEastAsia"/>
          <w:i/>
        </w:rPr>
        <w:t>Caution:</w:t>
      </w:r>
      <w:r w:rsidRPr="005C4241">
        <w:rPr>
          <w:rStyle w:val="Emphasis"/>
          <w:rFonts w:eastAsiaTheme="majorEastAsia"/>
          <w:i/>
        </w:rPr>
        <w:t xml:space="preserve"> </w:t>
      </w:r>
      <w:r w:rsidRPr="005C4241">
        <w:t>the liquid’s colour may not be visible in amber or opaque containers</w:t>
      </w:r>
      <w:r>
        <w:t>.</w:t>
      </w:r>
    </w:p>
    <w:p w14:paraId="0FD369F6" w14:textId="77777777" w:rsidR="00D62420" w:rsidRDefault="00D62420" w:rsidP="00D62420">
      <w:pPr>
        <w:tabs>
          <w:tab w:val="left" w:pos="754"/>
        </w:tabs>
        <w:ind w:left="567"/>
      </w:pPr>
      <w:r w:rsidRPr="00906CA0">
        <w:rPr>
          <w:sz w:val="16"/>
        </w:rPr>
        <w:t>‡</w:t>
      </w:r>
      <w:r>
        <w:rPr>
          <w:sz w:val="16"/>
        </w:rPr>
        <w:tab/>
      </w:r>
      <w:r w:rsidRPr="004B110C">
        <w:t>Fine crystals may be difficult to observe, the use of a strong flashlight is recommended.</w:t>
      </w:r>
    </w:p>
    <w:p w14:paraId="3C94C880" w14:textId="77777777" w:rsidR="00D62420" w:rsidRDefault="00D62420" w:rsidP="00D62420">
      <w:pPr>
        <w:pBdr>
          <w:bottom w:val="single" w:sz="12" w:space="1" w:color="FF0000"/>
        </w:pBdr>
        <w:rPr>
          <w:rStyle w:val="Emphasis"/>
          <w:rFonts w:eastAsiaTheme="majorEastAsia"/>
        </w:rPr>
      </w:pPr>
      <w:r>
        <w:rPr>
          <w:rStyle w:val="Emphasis"/>
          <w:rFonts w:eastAsiaTheme="majorEastAsia"/>
        </w:rPr>
        <w:t xml:space="preserve">If the above signs are observed you must immediately cordon off the area to </w:t>
      </w:r>
      <w:r w:rsidRPr="00DA075E">
        <w:rPr>
          <w:rStyle w:val="Emphasis"/>
          <w:rFonts w:eastAsiaTheme="majorEastAsia"/>
        </w:rPr>
        <w:t>prevent</w:t>
      </w:r>
      <w:r>
        <w:rPr>
          <w:rStyle w:val="Emphasis"/>
          <w:rFonts w:eastAsiaTheme="majorEastAsia"/>
        </w:rPr>
        <w:t xml:space="preserve"> the chemical being disturbed, contact </w:t>
      </w:r>
      <w:r w:rsidRPr="00C735E6">
        <w:rPr>
          <w:rStyle w:val="Emphasis"/>
          <w:rFonts w:eastAsiaTheme="majorEastAsia"/>
        </w:rPr>
        <w:t xml:space="preserve">Health and Safety on 9266 4900 </w:t>
      </w:r>
      <w:r>
        <w:rPr>
          <w:rStyle w:val="Emphasis"/>
          <w:rFonts w:eastAsiaTheme="majorEastAsia"/>
        </w:rPr>
        <w:t>and your Laboratory Technical Manager.</w:t>
      </w:r>
    </w:p>
    <w:p w14:paraId="601ABB6A" w14:textId="02C63144" w:rsidR="00602FE8" w:rsidRDefault="00602FE8" w:rsidP="00D62420">
      <w:pPr>
        <w:spacing w:before="0"/>
        <w:rPr>
          <w:b/>
        </w:rPr>
      </w:pPr>
      <w:r>
        <w:lastRenderedPageBreak/>
        <w:t xml:space="preserve">For detailed guidance on the risks posed, management requirements, the warning signs of chemical instability, and the efficient identification of Time Sensitive Chemicals in your stocks refer to the </w:t>
      </w:r>
      <w:hyperlink r:id="rId48" w:history="1">
        <w:r w:rsidR="000B5016">
          <w:rPr>
            <w:rStyle w:val="Hyperlink"/>
          </w:rPr>
          <w:t>Time Sensitive Chemicals (curtin.edu.au)</w:t>
        </w:r>
      </w:hyperlink>
      <w:r w:rsidR="000B5016">
        <w:t>.</w:t>
      </w:r>
    </w:p>
    <w:p w14:paraId="7C94CC50" w14:textId="77777777" w:rsidR="00602FE8" w:rsidRDefault="00602FE8" w:rsidP="00602FE8">
      <w:pPr>
        <w:rPr>
          <w:b/>
        </w:rPr>
      </w:pPr>
      <w:bookmarkStart w:id="130" w:name="_Toc23145254"/>
      <w:r w:rsidRPr="00EC46B1">
        <w:rPr>
          <w:b/>
        </w:rPr>
        <w:t xml:space="preserve">Table </w:t>
      </w:r>
      <w:r w:rsidRPr="00C242D8">
        <w:rPr>
          <w:b/>
        </w:rPr>
        <w:fldChar w:fldCharType="begin"/>
      </w:r>
      <w:r w:rsidRPr="00C242D8">
        <w:rPr>
          <w:b/>
        </w:rPr>
        <w:instrText xml:space="preserve"> SEQ Table \* ARABIC </w:instrText>
      </w:r>
      <w:r w:rsidRPr="00C242D8">
        <w:rPr>
          <w:b/>
        </w:rPr>
        <w:fldChar w:fldCharType="separate"/>
      </w:r>
      <w:r>
        <w:rPr>
          <w:b/>
          <w:noProof/>
        </w:rPr>
        <w:t>5</w:t>
      </w:r>
      <w:r w:rsidRPr="00C242D8">
        <w:rPr>
          <w:b/>
        </w:rPr>
        <w:fldChar w:fldCharType="end"/>
      </w:r>
      <w:r>
        <w:rPr>
          <w:b/>
        </w:rPr>
        <w:t>:</w:t>
      </w:r>
      <w:r w:rsidRPr="00EC46B1">
        <w:rPr>
          <w:b/>
        </w:rPr>
        <w:t xml:space="preserve"> Guidance on Storage</w:t>
      </w:r>
      <w:r>
        <w:rPr>
          <w:b/>
        </w:rPr>
        <w:t xml:space="preserve"> Limits</w:t>
      </w:r>
      <w:r w:rsidRPr="00EC46B1">
        <w:rPr>
          <w:b/>
        </w:rPr>
        <w:t xml:space="preserve"> of </w:t>
      </w:r>
      <w:r>
        <w:rPr>
          <w:b/>
        </w:rPr>
        <w:t xml:space="preserve">Some Common </w:t>
      </w:r>
      <w:r w:rsidRPr="00EC46B1">
        <w:rPr>
          <w:b/>
        </w:rPr>
        <w:t>Time Sensitive Chemicals</w:t>
      </w:r>
      <w:bookmarkEnd w:id="130"/>
    </w:p>
    <w:tbl>
      <w:tblPr>
        <w:tblW w:w="7938" w:type="dxa"/>
        <w:jc w:val="center"/>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5163"/>
        <w:gridCol w:w="2775"/>
      </w:tblGrid>
      <w:tr w:rsidR="00602FE8" w:rsidRPr="00C02400" w14:paraId="7C7CB55E" w14:textId="77777777" w:rsidTr="009F0D87">
        <w:trPr>
          <w:cantSplit/>
          <w:tblHeader/>
          <w:jc w:val="center"/>
        </w:trPr>
        <w:tc>
          <w:tcPr>
            <w:tcW w:w="5163" w:type="dxa"/>
            <w:shd w:val="clear" w:color="auto" w:fill="auto"/>
          </w:tcPr>
          <w:p w14:paraId="736F0E19" w14:textId="77777777" w:rsidR="00602FE8" w:rsidRPr="009F0D87" w:rsidRDefault="00602FE8" w:rsidP="009F0D87">
            <w:pPr>
              <w:pStyle w:val="TableHeading"/>
              <w:ind w:left="113"/>
              <w:rPr>
                <w:sz w:val="20"/>
              </w:rPr>
            </w:pPr>
            <w:r w:rsidRPr="009F0D87">
              <w:rPr>
                <w:sz w:val="20"/>
              </w:rPr>
              <w:t>Description</w:t>
            </w:r>
          </w:p>
        </w:tc>
        <w:tc>
          <w:tcPr>
            <w:tcW w:w="2775" w:type="dxa"/>
            <w:shd w:val="clear" w:color="auto" w:fill="auto"/>
          </w:tcPr>
          <w:p w14:paraId="067CCACC" w14:textId="77777777" w:rsidR="00602FE8" w:rsidRPr="009F0D87" w:rsidRDefault="00602FE8" w:rsidP="009F0D87">
            <w:pPr>
              <w:pStyle w:val="TableHeading"/>
              <w:ind w:left="113"/>
              <w:rPr>
                <w:sz w:val="20"/>
              </w:rPr>
            </w:pPr>
            <w:r w:rsidRPr="009F0D87">
              <w:rPr>
                <w:sz w:val="20"/>
              </w:rPr>
              <w:t>Storage Duration</w:t>
            </w:r>
          </w:p>
        </w:tc>
      </w:tr>
      <w:tr w:rsidR="00602FE8" w:rsidRPr="00C02400" w14:paraId="2F0B1695" w14:textId="77777777" w:rsidTr="009F0D87">
        <w:trPr>
          <w:cantSplit/>
          <w:jc w:val="center"/>
        </w:trPr>
        <w:tc>
          <w:tcPr>
            <w:tcW w:w="5163" w:type="dxa"/>
            <w:shd w:val="clear" w:color="auto" w:fill="auto"/>
            <w:vAlign w:val="center"/>
          </w:tcPr>
          <w:p w14:paraId="5746DF5E" w14:textId="77777777" w:rsidR="00602FE8" w:rsidRPr="009F0D87" w:rsidRDefault="00602FE8" w:rsidP="009F0D87">
            <w:pPr>
              <w:pStyle w:val="TableText"/>
              <w:ind w:left="131"/>
              <w:rPr>
                <w:sz w:val="20"/>
              </w:rPr>
            </w:pPr>
            <w:r w:rsidRPr="009F0D87">
              <w:rPr>
                <w:sz w:val="20"/>
              </w:rPr>
              <w:tab/>
              <w:t>Peroxide Forming Chemicals</w:t>
            </w:r>
          </w:p>
        </w:tc>
        <w:tc>
          <w:tcPr>
            <w:tcW w:w="2775" w:type="dxa"/>
            <w:shd w:val="clear" w:color="auto" w:fill="auto"/>
            <w:vAlign w:val="center"/>
          </w:tcPr>
          <w:p w14:paraId="54F3FBAE" w14:textId="77777777" w:rsidR="00602FE8" w:rsidRPr="009F0D87" w:rsidRDefault="00602FE8" w:rsidP="009F0D87">
            <w:pPr>
              <w:pStyle w:val="TableText"/>
              <w:ind w:left="131"/>
              <w:rPr>
                <w:sz w:val="20"/>
              </w:rPr>
            </w:pPr>
            <w:r w:rsidRPr="009F0D87">
              <w:rPr>
                <w:sz w:val="20"/>
              </w:rPr>
              <w:t>From 24 hours to 18 months</w:t>
            </w:r>
            <w:r w:rsidRPr="009F0D87">
              <w:rPr>
                <w:sz w:val="20"/>
                <w:vertAlign w:val="superscript"/>
              </w:rPr>
              <w:t>‡</w:t>
            </w:r>
          </w:p>
        </w:tc>
      </w:tr>
      <w:tr w:rsidR="00602FE8" w:rsidRPr="00C02400" w14:paraId="3943110E" w14:textId="77777777" w:rsidTr="009F0D87">
        <w:trPr>
          <w:cantSplit/>
          <w:jc w:val="center"/>
        </w:trPr>
        <w:tc>
          <w:tcPr>
            <w:tcW w:w="5163" w:type="dxa"/>
            <w:shd w:val="clear" w:color="auto" w:fill="auto"/>
            <w:vAlign w:val="center"/>
          </w:tcPr>
          <w:p w14:paraId="576E19D6" w14:textId="77777777" w:rsidR="00602FE8" w:rsidRPr="009F0D87" w:rsidRDefault="00602FE8" w:rsidP="009F0D87">
            <w:pPr>
              <w:pStyle w:val="TableText"/>
              <w:ind w:left="131"/>
              <w:rPr>
                <w:sz w:val="20"/>
              </w:rPr>
            </w:pPr>
            <w:r w:rsidRPr="009F0D87">
              <w:rPr>
                <w:sz w:val="20"/>
              </w:rPr>
              <w:tab/>
              <w:t>Other Time Sensitive Chemicals, including:</w:t>
            </w:r>
          </w:p>
        </w:tc>
        <w:tc>
          <w:tcPr>
            <w:tcW w:w="2775" w:type="dxa"/>
            <w:vMerge w:val="restart"/>
            <w:shd w:val="clear" w:color="auto" w:fill="auto"/>
          </w:tcPr>
          <w:p w14:paraId="35E1FA10" w14:textId="77777777" w:rsidR="00602FE8" w:rsidRPr="009F0D87" w:rsidRDefault="00602FE8" w:rsidP="009F0D87">
            <w:pPr>
              <w:pStyle w:val="TableText"/>
              <w:ind w:left="131"/>
              <w:rPr>
                <w:sz w:val="20"/>
              </w:rPr>
            </w:pPr>
            <w:r w:rsidRPr="009F0D87">
              <w:rPr>
                <w:sz w:val="20"/>
              </w:rPr>
              <w:t>18 months to 5 years</w:t>
            </w:r>
            <w:r w:rsidRPr="009F0D87">
              <w:rPr>
                <w:sz w:val="20"/>
                <w:vertAlign w:val="superscript"/>
              </w:rPr>
              <w:t>‡</w:t>
            </w:r>
          </w:p>
        </w:tc>
      </w:tr>
      <w:tr w:rsidR="00602FE8" w:rsidRPr="00C02400" w14:paraId="20898A3E" w14:textId="77777777" w:rsidTr="009F0D87">
        <w:trPr>
          <w:cantSplit/>
          <w:jc w:val="center"/>
        </w:trPr>
        <w:tc>
          <w:tcPr>
            <w:tcW w:w="5163" w:type="dxa"/>
            <w:shd w:val="clear" w:color="auto" w:fill="auto"/>
          </w:tcPr>
          <w:p w14:paraId="5CF2065F" w14:textId="77777777" w:rsidR="00602FE8" w:rsidRPr="009F0D87" w:rsidRDefault="00602FE8" w:rsidP="009F0D87">
            <w:pPr>
              <w:pStyle w:val="TableText"/>
              <w:tabs>
                <w:tab w:val="left" w:pos="426"/>
              </w:tabs>
              <w:ind w:left="131"/>
              <w:rPr>
                <w:sz w:val="20"/>
                <w:szCs w:val="20"/>
              </w:rPr>
            </w:pPr>
            <w:r w:rsidRPr="009F0D87">
              <w:rPr>
                <w:sz w:val="20"/>
              </w:rPr>
              <w:tab/>
            </w:r>
            <w:r w:rsidRPr="009F0D87">
              <w:rPr>
                <w:sz w:val="20"/>
              </w:rPr>
              <w:tab/>
            </w:r>
            <w:r w:rsidRPr="009F0D87">
              <w:rPr>
                <w:sz w:val="20"/>
                <w:szCs w:val="20"/>
              </w:rPr>
              <w:t>Chloroform;</w:t>
            </w:r>
          </w:p>
        </w:tc>
        <w:tc>
          <w:tcPr>
            <w:tcW w:w="2775" w:type="dxa"/>
            <w:vMerge/>
          </w:tcPr>
          <w:p w14:paraId="4BEB64DF" w14:textId="77777777" w:rsidR="00602FE8" w:rsidRPr="00C02400" w:rsidRDefault="00602FE8" w:rsidP="009F0D87">
            <w:pPr>
              <w:pStyle w:val="TableText"/>
              <w:ind w:left="131"/>
            </w:pPr>
          </w:p>
        </w:tc>
      </w:tr>
      <w:tr w:rsidR="00602FE8" w:rsidRPr="00C02400" w14:paraId="28D47052" w14:textId="77777777" w:rsidTr="009F0D87">
        <w:trPr>
          <w:cantSplit/>
          <w:jc w:val="center"/>
        </w:trPr>
        <w:tc>
          <w:tcPr>
            <w:tcW w:w="5163" w:type="dxa"/>
            <w:shd w:val="clear" w:color="auto" w:fill="auto"/>
          </w:tcPr>
          <w:p w14:paraId="57892E16" w14:textId="77777777" w:rsidR="00602FE8" w:rsidRPr="009F0D87" w:rsidRDefault="00602FE8" w:rsidP="009F0D87">
            <w:pPr>
              <w:pStyle w:val="TableText"/>
              <w:tabs>
                <w:tab w:val="left" w:pos="426"/>
              </w:tabs>
              <w:ind w:left="131"/>
              <w:rPr>
                <w:sz w:val="20"/>
              </w:rPr>
            </w:pPr>
            <w:r w:rsidRPr="009F0D87">
              <w:rPr>
                <w:sz w:val="20"/>
              </w:rPr>
              <w:tab/>
            </w:r>
            <w:r w:rsidRPr="009F0D87">
              <w:rPr>
                <w:sz w:val="20"/>
              </w:rPr>
              <w:tab/>
              <w:t>Formic Acid;</w:t>
            </w:r>
          </w:p>
        </w:tc>
        <w:tc>
          <w:tcPr>
            <w:tcW w:w="2775" w:type="dxa"/>
            <w:vMerge/>
          </w:tcPr>
          <w:p w14:paraId="44B9D95C" w14:textId="77777777" w:rsidR="00602FE8" w:rsidRPr="00C02400" w:rsidRDefault="00602FE8" w:rsidP="009F0D87">
            <w:pPr>
              <w:pStyle w:val="TableText"/>
              <w:ind w:left="131"/>
            </w:pPr>
          </w:p>
        </w:tc>
      </w:tr>
      <w:tr w:rsidR="00602FE8" w:rsidRPr="00C02400" w14:paraId="05E7B77F" w14:textId="77777777" w:rsidTr="009F0D87">
        <w:trPr>
          <w:cantSplit/>
          <w:jc w:val="center"/>
        </w:trPr>
        <w:tc>
          <w:tcPr>
            <w:tcW w:w="5163" w:type="dxa"/>
            <w:shd w:val="clear" w:color="auto" w:fill="auto"/>
          </w:tcPr>
          <w:p w14:paraId="78E5C1B8" w14:textId="77777777" w:rsidR="00602FE8" w:rsidRPr="009F0D87" w:rsidRDefault="00602FE8" w:rsidP="009F0D87">
            <w:pPr>
              <w:pStyle w:val="TableText"/>
              <w:tabs>
                <w:tab w:val="left" w:pos="426"/>
              </w:tabs>
              <w:ind w:left="131"/>
              <w:rPr>
                <w:sz w:val="20"/>
              </w:rPr>
            </w:pPr>
            <w:r w:rsidRPr="009F0D87">
              <w:rPr>
                <w:sz w:val="20"/>
              </w:rPr>
              <w:tab/>
            </w:r>
            <w:r w:rsidRPr="009F0D87">
              <w:rPr>
                <w:sz w:val="20"/>
              </w:rPr>
              <w:tab/>
              <w:t>Picric Acid;</w:t>
            </w:r>
          </w:p>
        </w:tc>
        <w:tc>
          <w:tcPr>
            <w:tcW w:w="2775" w:type="dxa"/>
            <w:vMerge/>
          </w:tcPr>
          <w:p w14:paraId="21459812" w14:textId="77777777" w:rsidR="00602FE8" w:rsidRPr="00C02400" w:rsidRDefault="00602FE8" w:rsidP="009F0D87">
            <w:pPr>
              <w:pStyle w:val="TableText"/>
              <w:ind w:left="131"/>
              <w:jc w:val="center"/>
            </w:pPr>
          </w:p>
        </w:tc>
      </w:tr>
      <w:tr w:rsidR="00602FE8" w:rsidRPr="00C02400" w14:paraId="35CCF69F" w14:textId="77777777" w:rsidTr="009F0D87">
        <w:trPr>
          <w:cantSplit/>
          <w:jc w:val="center"/>
        </w:trPr>
        <w:tc>
          <w:tcPr>
            <w:tcW w:w="5163" w:type="dxa"/>
            <w:shd w:val="clear" w:color="auto" w:fill="auto"/>
          </w:tcPr>
          <w:p w14:paraId="25772528" w14:textId="77777777" w:rsidR="00602FE8" w:rsidRPr="009F0D87" w:rsidRDefault="00602FE8" w:rsidP="009F0D87">
            <w:pPr>
              <w:pStyle w:val="TableText"/>
              <w:tabs>
                <w:tab w:val="left" w:pos="426"/>
              </w:tabs>
              <w:ind w:left="131"/>
              <w:rPr>
                <w:sz w:val="20"/>
              </w:rPr>
            </w:pPr>
            <w:r w:rsidRPr="009F0D87">
              <w:rPr>
                <w:sz w:val="20"/>
              </w:rPr>
              <w:tab/>
            </w:r>
            <w:r w:rsidRPr="009F0D87">
              <w:rPr>
                <w:sz w:val="20"/>
              </w:rPr>
              <w:tab/>
              <w:t>Other Explosive when Dry Chemicals</w:t>
            </w:r>
          </w:p>
        </w:tc>
        <w:tc>
          <w:tcPr>
            <w:tcW w:w="2775" w:type="dxa"/>
            <w:vMerge/>
          </w:tcPr>
          <w:p w14:paraId="66D934D6" w14:textId="77777777" w:rsidR="00602FE8" w:rsidRPr="00C02400" w:rsidRDefault="00602FE8" w:rsidP="009F0D87">
            <w:pPr>
              <w:pStyle w:val="TableText"/>
              <w:ind w:left="131"/>
              <w:jc w:val="center"/>
            </w:pPr>
          </w:p>
        </w:tc>
      </w:tr>
    </w:tbl>
    <w:p w14:paraId="71F422F6" w14:textId="0C00F196" w:rsidR="00602FE8" w:rsidRPr="0007456C" w:rsidRDefault="00602FE8" w:rsidP="003A782C">
      <w:r w:rsidRPr="0043047F">
        <w:rPr>
          <w:vertAlign w:val="superscript"/>
        </w:rPr>
        <w:t>‡</w:t>
      </w:r>
      <w:r>
        <w:rPr>
          <w:vertAlign w:val="superscript"/>
        </w:rPr>
        <w:t xml:space="preserve"> </w:t>
      </w:r>
      <w:r>
        <w:rPr>
          <w:vertAlign w:val="superscript"/>
        </w:rPr>
        <w:tab/>
      </w:r>
      <w:r w:rsidRPr="009F0D87">
        <w:t>For detailed</w:t>
      </w:r>
      <w:r>
        <w:t xml:space="preserve"> advice refer to the tables contained in the</w:t>
      </w:r>
      <w:r w:rsidR="000B5016">
        <w:t xml:space="preserve"> </w:t>
      </w:r>
      <w:hyperlink r:id="rId49" w:history="1">
        <w:r w:rsidR="000B5016">
          <w:rPr>
            <w:rStyle w:val="Hyperlink"/>
          </w:rPr>
          <w:t>Time Sensitive Chemicals (curtin.edu.au)</w:t>
        </w:r>
      </w:hyperlink>
    </w:p>
    <w:p w14:paraId="61821A67" w14:textId="77777777" w:rsidR="00256DA7" w:rsidRDefault="00E9069F" w:rsidP="005E44A4">
      <w:pPr>
        <w:pStyle w:val="Heading2"/>
      </w:pPr>
      <w:bookmarkStart w:id="131" w:name="_Toc19005536"/>
      <w:bookmarkStart w:id="132" w:name="_Toc101438982"/>
      <w:r>
        <w:t>10.6</w:t>
      </w:r>
      <w:r w:rsidR="00D92E5E">
        <w:t xml:space="preserve">   </w:t>
      </w:r>
      <w:r>
        <w:t>Chemical Storage in Laboratories</w:t>
      </w:r>
      <w:bookmarkEnd w:id="131"/>
      <w:bookmarkEnd w:id="132"/>
    </w:p>
    <w:p w14:paraId="61821A68" w14:textId="2B794556" w:rsidR="00FA7D2D" w:rsidRPr="00FA7D2D" w:rsidRDefault="00E9069F" w:rsidP="00FA7D2D">
      <w:pPr>
        <w:rPr>
          <w:lang w:eastAsia="en-US"/>
        </w:rPr>
      </w:pPr>
      <w:bookmarkStart w:id="133" w:name="_Toc400033804"/>
      <w:r w:rsidRPr="00FA7D2D">
        <w:rPr>
          <w:lang w:eastAsia="en-US"/>
        </w:rPr>
        <w:t xml:space="preserve">The quantities of hazardous chemicals stored in laboratories should not exceed those specified in Table </w:t>
      </w:r>
      <w:r w:rsidR="00907B03">
        <w:rPr>
          <w:lang w:eastAsia="en-US"/>
        </w:rPr>
        <w:t>6</w:t>
      </w:r>
      <w:r w:rsidR="00D2740E">
        <w:rPr>
          <w:lang w:eastAsia="en-US"/>
        </w:rPr>
        <w:t>,</w:t>
      </w:r>
      <w:r w:rsidRPr="00FA7D2D">
        <w:rPr>
          <w:lang w:eastAsia="en-US"/>
        </w:rPr>
        <w:t xml:space="preserve"> </w:t>
      </w:r>
      <w:r w:rsidR="00D2740E">
        <w:rPr>
          <w:lang w:eastAsia="en-US"/>
        </w:rPr>
        <w:t>with i</w:t>
      </w:r>
      <w:r w:rsidRPr="00FA7D2D">
        <w:rPr>
          <w:lang w:eastAsia="en-US"/>
        </w:rPr>
        <w:t>ncompatible chemicals shall not be stored together unless properly segregated</w:t>
      </w:r>
      <w:r w:rsidR="00907B03">
        <w:rPr>
          <w:lang w:eastAsia="en-US"/>
        </w:rPr>
        <w:t xml:space="preserve"> (Table 4)</w:t>
      </w:r>
      <w:r w:rsidRPr="00FA7D2D">
        <w:rPr>
          <w:lang w:eastAsia="en-US"/>
        </w:rPr>
        <w:t xml:space="preserve">. </w:t>
      </w:r>
      <w:proofErr w:type="gramStart"/>
      <w:r w:rsidR="00D2740E">
        <w:rPr>
          <w:lang w:eastAsia="en-US"/>
        </w:rPr>
        <w:t>However</w:t>
      </w:r>
      <w:proofErr w:type="gramEnd"/>
      <w:r w:rsidR="00D2740E">
        <w:rPr>
          <w:lang w:eastAsia="en-US"/>
        </w:rPr>
        <w:t xml:space="preserve"> i</w:t>
      </w:r>
      <w:r w:rsidRPr="00FA7D2D">
        <w:rPr>
          <w:lang w:eastAsia="en-US"/>
        </w:rPr>
        <w:t>t is recommended that chemicals stored in the laboratory are located with</w:t>
      </w:r>
      <w:r>
        <w:rPr>
          <w:lang w:eastAsia="en-US"/>
        </w:rPr>
        <w:t xml:space="preserve">in a chemical storage cabinet and not purely reliant on the </w:t>
      </w:r>
      <w:r w:rsidR="00D2740E">
        <w:rPr>
          <w:lang w:eastAsia="en-US"/>
        </w:rPr>
        <w:t xml:space="preserve">below </w:t>
      </w:r>
      <w:r>
        <w:rPr>
          <w:lang w:eastAsia="en-US"/>
        </w:rPr>
        <w:t>exempt volumes.</w:t>
      </w:r>
    </w:p>
    <w:p w14:paraId="61821A69" w14:textId="54D18AF3" w:rsidR="00FA7D2D" w:rsidRDefault="00E9069F" w:rsidP="00BF07DD">
      <w:pPr>
        <w:tabs>
          <w:tab w:val="left" w:pos="993"/>
        </w:tabs>
        <w:ind w:left="851" w:right="-1" w:hanging="851"/>
        <w:rPr>
          <w:b/>
          <w:bCs/>
          <w:sz w:val="18"/>
          <w:szCs w:val="18"/>
          <w:lang w:eastAsia="en-US"/>
        </w:rPr>
      </w:pPr>
      <w:bookmarkStart w:id="134" w:name="_Toc418859515"/>
      <w:bookmarkStart w:id="135" w:name="_Toc18574531"/>
      <w:bookmarkStart w:id="136" w:name="_Toc99619992"/>
      <w:r w:rsidRPr="0032625C">
        <w:rPr>
          <w:b/>
          <w:bCs/>
          <w:lang w:eastAsia="en-US"/>
        </w:rPr>
        <w:t>Table </w:t>
      </w:r>
      <w:r w:rsidR="0066456F" w:rsidRPr="007625FF">
        <w:rPr>
          <w:rFonts w:eastAsia="Calibri" w:cs="Calibri"/>
          <w:b/>
          <w:bCs/>
          <w:sz w:val="18"/>
          <w:szCs w:val="18"/>
          <w:lang w:val="en-US" w:eastAsia="en-US"/>
        </w:rPr>
        <w:fldChar w:fldCharType="begin"/>
      </w:r>
      <w:r w:rsidR="0066456F" w:rsidRPr="003A782C">
        <w:rPr>
          <w:b/>
          <w:bCs/>
          <w:lang w:eastAsia="en-US"/>
        </w:rPr>
        <w:instrText xml:space="preserve"> SEQ Table \* ARABIC </w:instrText>
      </w:r>
      <w:r w:rsidR="0066456F" w:rsidRPr="007625FF">
        <w:rPr>
          <w:rFonts w:eastAsia="Calibri" w:cs="Calibri"/>
          <w:b/>
          <w:bCs/>
          <w:sz w:val="18"/>
          <w:szCs w:val="18"/>
          <w:lang w:val="en-US" w:eastAsia="en-US"/>
        </w:rPr>
        <w:fldChar w:fldCharType="separate"/>
      </w:r>
      <w:r w:rsidR="00BC0589">
        <w:rPr>
          <w:b/>
          <w:bCs/>
          <w:noProof/>
          <w:lang w:eastAsia="en-US"/>
        </w:rPr>
        <w:t>6</w:t>
      </w:r>
      <w:r w:rsidR="0066456F" w:rsidRPr="007625FF">
        <w:rPr>
          <w:rFonts w:eastAsia="Calibri" w:cs="Calibri"/>
          <w:b/>
          <w:bCs/>
          <w:sz w:val="18"/>
          <w:szCs w:val="18"/>
          <w:lang w:val="en-US" w:eastAsia="en-US"/>
        </w:rPr>
        <w:fldChar w:fldCharType="end"/>
      </w:r>
      <w:r w:rsidRPr="0032625C">
        <w:rPr>
          <w:b/>
          <w:bCs/>
          <w:lang w:eastAsia="en-US"/>
        </w:rPr>
        <w:t>:</w:t>
      </w:r>
      <w:r w:rsidR="00C14BF5">
        <w:rPr>
          <w:b/>
          <w:bCs/>
          <w:lang w:eastAsia="en-US"/>
        </w:rPr>
        <w:t xml:space="preserve"> </w:t>
      </w:r>
      <w:r w:rsidRPr="003A782C">
        <w:rPr>
          <w:b/>
          <w:bCs/>
          <w:lang w:eastAsia="en-US"/>
        </w:rPr>
        <w:t>Quantities of hazardous chemicals permitted to be stored in a lab</w:t>
      </w:r>
      <w:r w:rsidR="0004029B" w:rsidRPr="003A782C">
        <w:rPr>
          <w:b/>
          <w:bCs/>
          <w:lang w:eastAsia="en-US"/>
        </w:rPr>
        <w:t>oratory</w:t>
      </w:r>
      <w:r w:rsidRPr="003A782C">
        <w:rPr>
          <w:b/>
          <w:bCs/>
          <w:lang w:eastAsia="en-US"/>
        </w:rPr>
        <w:t xml:space="preserve"> other than in a </w:t>
      </w:r>
      <w:proofErr w:type="gramStart"/>
      <w:r w:rsidRPr="003A782C">
        <w:rPr>
          <w:b/>
          <w:bCs/>
          <w:lang w:eastAsia="en-US"/>
        </w:rPr>
        <w:t>chemicals</w:t>
      </w:r>
      <w:proofErr w:type="gramEnd"/>
      <w:r w:rsidRPr="003A782C">
        <w:rPr>
          <w:b/>
          <w:bCs/>
          <w:lang w:eastAsia="en-US"/>
        </w:rPr>
        <w:t xml:space="preserve"> storage cabinet</w:t>
      </w:r>
      <w:bookmarkEnd w:id="134"/>
      <w:bookmarkEnd w:id="135"/>
      <w:bookmarkEnd w:id="136"/>
      <w:bookmarkEnd w:id="133"/>
      <w:r w:rsidRPr="00D92E5E">
        <w:rPr>
          <w:b/>
          <w:bCs/>
          <w:sz w:val="18"/>
          <w:szCs w:val="18"/>
          <w:lang w:eastAsia="en-US"/>
        </w:rPr>
        <w:t xml:space="preserve"> </w:t>
      </w:r>
    </w:p>
    <w:p w14:paraId="61821A6A" w14:textId="77777777" w:rsidR="00D2740E" w:rsidRPr="00D92E5E" w:rsidRDefault="00D2740E" w:rsidP="003A782C">
      <w:pPr>
        <w:tabs>
          <w:tab w:val="left" w:pos="993"/>
        </w:tabs>
        <w:spacing w:before="0"/>
        <w:rPr>
          <w:b/>
          <w:bCs/>
          <w:sz w:val="18"/>
          <w:szCs w:val="18"/>
          <w:lang w:eastAsia="en-US"/>
        </w:rPr>
      </w:pPr>
    </w:p>
    <w:tbl>
      <w:tblPr>
        <w:tblW w:w="9498" w:type="dxa"/>
        <w:tblBorders>
          <w:top w:val="single" w:sz="2" w:space="0" w:color="auto"/>
          <w:bottom w:val="single" w:sz="2" w:space="0" w:color="auto"/>
          <w:insideH w:val="single" w:sz="2" w:space="0" w:color="auto"/>
        </w:tblBorders>
        <w:tblCellMar>
          <w:top w:w="113" w:type="dxa"/>
          <w:bottom w:w="113" w:type="dxa"/>
        </w:tblCellMar>
        <w:tblLook w:val="04A0" w:firstRow="1" w:lastRow="0" w:firstColumn="1" w:lastColumn="0" w:noHBand="0" w:noVBand="1"/>
      </w:tblPr>
      <w:tblGrid>
        <w:gridCol w:w="2835"/>
        <w:gridCol w:w="1560"/>
        <w:gridCol w:w="1701"/>
        <w:gridCol w:w="3402"/>
      </w:tblGrid>
      <w:tr w:rsidR="0059373B" w14:paraId="61821A71" w14:textId="77777777" w:rsidTr="003A782C">
        <w:trPr>
          <w:cantSplit/>
          <w:tblHeader/>
        </w:trPr>
        <w:tc>
          <w:tcPr>
            <w:tcW w:w="2835" w:type="dxa"/>
            <w:shd w:val="clear" w:color="auto" w:fill="auto"/>
            <w:vAlign w:val="center"/>
          </w:tcPr>
          <w:p w14:paraId="61821A6B" w14:textId="77777777" w:rsidR="00FA7D2D" w:rsidRPr="00FA7D2D" w:rsidRDefault="00E9069F" w:rsidP="003A782C">
            <w:pPr>
              <w:spacing w:before="0"/>
              <w:jc w:val="left"/>
              <w:rPr>
                <w:b/>
                <w:lang w:eastAsia="en-US"/>
              </w:rPr>
            </w:pPr>
            <w:r w:rsidRPr="00FA7D2D">
              <w:rPr>
                <w:b/>
                <w:lang w:eastAsia="en-US"/>
              </w:rPr>
              <w:t>Type of substance or Class of dangerous goods</w:t>
            </w:r>
          </w:p>
        </w:tc>
        <w:tc>
          <w:tcPr>
            <w:tcW w:w="1560" w:type="dxa"/>
            <w:shd w:val="clear" w:color="auto" w:fill="auto"/>
            <w:vAlign w:val="center"/>
          </w:tcPr>
          <w:p w14:paraId="61821A6D" w14:textId="67E763D9" w:rsidR="00FA7D2D" w:rsidRPr="00FA7D2D" w:rsidRDefault="00E9069F" w:rsidP="003A782C">
            <w:pPr>
              <w:spacing w:before="0"/>
              <w:jc w:val="left"/>
              <w:rPr>
                <w:b/>
                <w:lang w:eastAsia="en-US"/>
              </w:rPr>
            </w:pPr>
            <w:r w:rsidRPr="00FA7D2D">
              <w:rPr>
                <w:b/>
                <w:lang w:eastAsia="en-US"/>
              </w:rPr>
              <w:t>Maximum per 50m</w:t>
            </w:r>
            <w:r w:rsidRPr="00FA7D2D">
              <w:rPr>
                <w:b/>
                <w:vertAlign w:val="superscript"/>
                <w:lang w:eastAsia="en-US"/>
              </w:rPr>
              <w:t>2</w:t>
            </w:r>
            <w:r>
              <w:rPr>
                <w:b/>
                <w:lang w:eastAsia="en-US"/>
              </w:rPr>
              <w:t xml:space="preserve"> </w:t>
            </w:r>
            <w:r w:rsidRPr="00FA7D2D">
              <w:rPr>
                <w:b/>
                <w:lang w:eastAsia="en-US"/>
              </w:rPr>
              <w:t>(kg or L)</w:t>
            </w:r>
          </w:p>
        </w:tc>
        <w:tc>
          <w:tcPr>
            <w:tcW w:w="1701" w:type="dxa"/>
            <w:vAlign w:val="center"/>
          </w:tcPr>
          <w:p w14:paraId="61821A6F" w14:textId="32EE7930" w:rsidR="00FA7D2D" w:rsidRPr="00FA7D2D" w:rsidRDefault="00E9069F" w:rsidP="003A782C">
            <w:pPr>
              <w:spacing w:before="0"/>
              <w:jc w:val="left"/>
              <w:rPr>
                <w:b/>
                <w:lang w:eastAsia="en-US"/>
              </w:rPr>
            </w:pPr>
            <w:r w:rsidRPr="00FA7D2D">
              <w:rPr>
                <w:b/>
                <w:lang w:eastAsia="en-US"/>
              </w:rPr>
              <w:t>Maximum pack size</w:t>
            </w:r>
            <w:r>
              <w:rPr>
                <w:b/>
                <w:lang w:eastAsia="en-US"/>
              </w:rPr>
              <w:t xml:space="preserve"> </w:t>
            </w:r>
            <w:r w:rsidRPr="00FA7D2D">
              <w:rPr>
                <w:b/>
                <w:lang w:eastAsia="en-US"/>
              </w:rPr>
              <w:t>(kg or L)</w:t>
            </w:r>
          </w:p>
        </w:tc>
        <w:tc>
          <w:tcPr>
            <w:tcW w:w="3402" w:type="dxa"/>
            <w:shd w:val="clear" w:color="auto" w:fill="auto"/>
            <w:vAlign w:val="center"/>
          </w:tcPr>
          <w:p w14:paraId="61821A70" w14:textId="77777777" w:rsidR="00FA7D2D" w:rsidRPr="00FA7D2D" w:rsidRDefault="00E9069F" w:rsidP="003A782C">
            <w:pPr>
              <w:spacing w:before="0"/>
              <w:jc w:val="left"/>
              <w:rPr>
                <w:b/>
                <w:lang w:eastAsia="en-US"/>
              </w:rPr>
            </w:pPr>
            <w:r w:rsidRPr="00FA7D2D">
              <w:rPr>
                <w:b/>
                <w:lang w:eastAsia="en-US"/>
              </w:rPr>
              <w:t>Conditions for storage</w:t>
            </w:r>
          </w:p>
        </w:tc>
      </w:tr>
      <w:tr w:rsidR="0059373B" w14:paraId="61821A76" w14:textId="77777777" w:rsidTr="003A782C">
        <w:trPr>
          <w:cantSplit/>
        </w:trPr>
        <w:tc>
          <w:tcPr>
            <w:tcW w:w="2835" w:type="dxa"/>
            <w:shd w:val="clear" w:color="auto" w:fill="auto"/>
            <w:vAlign w:val="center"/>
          </w:tcPr>
          <w:p w14:paraId="61821A72" w14:textId="77777777" w:rsidR="00FA7D2D" w:rsidRPr="00FA7D2D" w:rsidRDefault="00E9069F" w:rsidP="003A782C">
            <w:pPr>
              <w:spacing w:before="0"/>
              <w:jc w:val="left"/>
              <w:rPr>
                <w:lang w:eastAsia="en-US"/>
              </w:rPr>
            </w:pPr>
            <w:r w:rsidRPr="00FA7D2D">
              <w:rPr>
                <w:lang w:eastAsia="en-US"/>
              </w:rPr>
              <w:t>Class 3 primary or sub-risk</w:t>
            </w:r>
          </w:p>
        </w:tc>
        <w:tc>
          <w:tcPr>
            <w:tcW w:w="1560" w:type="dxa"/>
            <w:shd w:val="clear" w:color="auto" w:fill="auto"/>
            <w:vAlign w:val="center"/>
          </w:tcPr>
          <w:p w14:paraId="61821A73" w14:textId="77777777" w:rsidR="00FA7D2D" w:rsidRPr="00FA7D2D" w:rsidRDefault="00E9069F" w:rsidP="003A782C">
            <w:pPr>
              <w:spacing w:before="0"/>
              <w:jc w:val="center"/>
              <w:rPr>
                <w:lang w:eastAsia="en-US"/>
              </w:rPr>
            </w:pPr>
            <w:r w:rsidRPr="00FA7D2D">
              <w:rPr>
                <w:lang w:eastAsia="en-US"/>
              </w:rPr>
              <w:t>10</w:t>
            </w:r>
          </w:p>
        </w:tc>
        <w:tc>
          <w:tcPr>
            <w:tcW w:w="1701" w:type="dxa"/>
            <w:vAlign w:val="center"/>
          </w:tcPr>
          <w:p w14:paraId="61821A74" w14:textId="77777777" w:rsidR="00FA7D2D" w:rsidRPr="00FA7D2D" w:rsidRDefault="00E9069F" w:rsidP="003A782C">
            <w:pPr>
              <w:spacing w:before="0"/>
              <w:jc w:val="center"/>
              <w:rPr>
                <w:lang w:eastAsia="en-US"/>
              </w:rPr>
            </w:pPr>
            <w:r w:rsidRPr="00FA7D2D">
              <w:rPr>
                <w:lang w:eastAsia="en-US"/>
              </w:rPr>
              <w:t>5</w:t>
            </w:r>
          </w:p>
        </w:tc>
        <w:tc>
          <w:tcPr>
            <w:tcW w:w="3402" w:type="dxa"/>
            <w:shd w:val="clear" w:color="auto" w:fill="auto"/>
            <w:vAlign w:val="center"/>
          </w:tcPr>
          <w:p w14:paraId="61821A75" w14:textId="77777777" w:rsidR="00FA7D2D" w:rsidRPr="00FA7D2D" w:rsidRDefault="00E9069F" w:rsidP="003A782C">
            <w:pPr>
              <w:spacing w:before="0"/>
              <w:rPr>
                <w:lang w:eastAsia="en-US"/>
              </w:rPr>
            </w:pPr>
            <w:r w:rsidRPr="00FA7D2D">
              <w:rPr>
                <w:lang w:eastAsia="en-US"/>
              </w:rPr>
              <w:t>Labelled standard laboratory cupboard or in small amounts throughout the laboratory</w:t>
            </w:r>
          </w:p>
        </w:tc>
      </w:tr>
      <w:tr w:rsidR="0059373B" w14:paraId="61821A7B" w14:textId="77777777" w:rsidTr="003A782C">
        <w:trPr>
          <w:cantSplit/>
        </w:trPr>
        <w:tc>
          <w:tcPr>
            <w:tcW w:w="2835" w:type="dxa"/>
            <w:shd w:val="clear" w:color="auto" w:fill="auto"/>
            <w:vAlign w:val="center"/>
          </w:tcPr>
          <w:p w14:paraId="61821A77" w14:textId="77777777" w:rsidR="00FA7D2D" w:rsidRPr="00FA7D2D" w:rsidRDefault="00E9069F" w:rsidP="003A782C">
            <w:pPr>
              <w:spacing w:before="0"/>
              <w:jc w:val="left"/>
              <w:rPr>
                <w:lang w:eastAsia="en-US"/>
              </w:rPr>
            </w:pPr>
            <w:r w:rsidRPr="00FA7D2D">
              <w:rPr>
                <w:lang w:eastAsia="en-US"/>
              </w:rPr>
              <w:t>Combustible liquids</w:t>
            </w:r>
          </w:p>
        </w:tc>
        <w:tc>
          <w:tcPr>
            <w:tcW w:w="1560" w:type="dxa"/>
            <w:shd w:val="clear" w:color="auto" w:fill="auto"/>
            <w:vAlign w:val="center"/>
          </w:tcPr>
          <w:p w14:paraId="61821A78" w14:textId="77777777" w:rsidR="00FA7D2D" w:rsidRPr="00FA7D2D" w:rsidRDefault="00E9069F" w:rsidP="003A782C">
            <w:pPr>
              <w:spacing w:before="0"/>
              <w:jc w:val="center"/>
              <w:rPr>
                <w:lang w:eastAsia="en-US"/>
              </w:rPr>
            </w:pPr>
            <w:r w:rsidRPr="00FA7D2D">
              <w:rPr>
                <w:lang w:eastAsia="en-US"/>
              </w:rPr>
              <w:t>50</w:t>
            </w:r>
          </w:p>
        </w:tc>
        <w:tc>
          <w:tcPr>
            <w:tcW w:w="1701" w:type="dxa"/>
            <w:vAlign w:val="center"/>
          </w:tcPr>
          <w:p w14:paraId="61821A79" w14:textId="77777777" w:rsidR="00FA7D2D" w:rsidRPr="00FA7D2D" w:rsidRDefault="00E9069F" w:rsidP="003A782C">
            <w:pPr>
              <w:spacing w:before="0"/>
              <w:jc w:val="center"/>
              <w:rPr>
                <w:lang w:eastAsia="en-US"/>
              </w:rPr>
            </w:pPr>
            <w:r w:rsidRPr="00FA7D2D">
              <w:rPr>
                <w:lang w:eastAsia="en-US"/>
              </w:rPr>
              <w:t>20</w:t>
            </w:r>
          </w:p>
        </w:tc>
        <w:tc>
          <w:tcPr>
            <w:tcW w:w="3402" w:type="dxa"/>
            <w:shd w:val="clear" w:color="auto" w:fill="auto"/>
            <w:vAlign w:val="center"/>
          </w:tcPr>
          <w:p w14:paraId="61821A7A" w14:textId="77777777" w:rsidR="00FA7D2D" w:rsidRPr="00FA7D2D" w:rsidRDefault="00E9069F" w:rsidP="003A782C">
            <w:pPr>
              <w:spacing w:before="0"/>
              <w:rPr>
                <w:lang w:eastAsia="en-US"/>
              </w:rPr>
            </w:pPr>
            <w:r w:rsidRPr="00FA7D2D">
              <w:rPr>
                <w:lang w:eastAsia="en-US"/>
              </w:rPr>
              <w:t>Labelled standard laboratory cupboard or in small amounts throughout the laboratory</w:t>
            </w:r>
          </w:p>
        </w:tc>
      </w:tr>
      <w:tr w:rsidR="0059373B" w14:paraId="61821A81" w14:textId="77777777" w:rsidTr="003A782C">
        <w:trPr>
          <w:cantSplit/>
        </w:trPr>
        <w:tc>
          <w:tcPr>
            <w:tcW w:w="2835" w:type="dxa"/>
            <w:shd w:val="clear" w:color="auto" w:fill="auto"/>
            <w:vAlign w:val="center"/>
          </w:tcPr>
          <w:p w14:paraId="61821A7C" w14:textId="77777777" w:rsidR="00FA7D2D" w:rsidRPr="00FA7D2D" w:rsidRDefault="00E9069F" w:rsidP="003A782C">
            <w:pPr>
              <w:spacing w:before="0"/>
              <w:jc w:val="left"/>
              <w:rPr>
                <w:lang w:eastAsia="en-US"/>
              </w:rPr>
            </w:pPr>
            <w:r w:rsidRPr="00FA7D2D">
              <w:rPr>
                <w:lang w:eastAsia="en-US"/>
              </w:rPr>
              <w:t>Classes 4.1, 4.2, 4.3, 5.1 or 5.2</w:t>
            </w:r>
          </w:p>
        </w:tc>
        <w:tc>
          <w:tcPr>
            <w:tcW w:w="1560" w:type="dxa"/>
            <w:shd w:val="clear" w:color="auto" w:fill="auto"/>
            <w:vAlign w:val="center"/>
          </w:tcPr>
          <w:p w14:paraId="61821A7D" w14:textId="01ABFBDC" w:rsidR="00F337C9" w:rsidRDefault="00E9069F" w:rsidP="003A782C">
            <w:pPr>
              <w:spacing w:before="0"/>
              <w:jc w:val="center"/>
              <w:rPr>
                <w:lang w:eastAsia="en-US"/>
              </w:rPr>
            </w:pPr>
            <w:r w:rsidRPr="00FA7D2D">
              <w:rPr>
                <w:lang w:eastAsia="en-US"/>
              </w:rPr>
              <w:t xml:space="preserve">20 </w:t>
            </w:r>
            <w:r>
              <w:rPr>
                <w:lang w:eastAsia="en-US"/>
              </w:rPr>
              <w:t>total, but</w:t>
            </w:r>
            <w:r w:rsidRPr="00FA7D2D">
              <w:rPr>
                <w:lang w:eastAsia="en-US"/>
              </w:rPr>
              <w:t xml:space="preserve"> </w:t>
            </w:r>
          </w:p>
          <w:p w14:paraId="61821A7E" w14:textId="77777777" w:rsidR="00FA7D2D" w:rsidRPr="00FA7D2D" w:rsidRDefault="00E9069F" w:rsidP="003A782C">
            <w:pPr>
              <w:spacing w:before="0"/>
              <w:jc w:val="center"/>
              <w:rPr>
                <w:lang w:eastAsia="en-US"/>
              </w:rPr>
            </w:pPr>
            <w:r w:rsidRPr="00FA7D2D">
              <w:rPr>
                <w:lang w:eastAsia="en-US"/>
              </w:rPr>
              <w:t>less than 10 of any one Class</w:t>
            </w:r>
          </w:p>
        </w:tc>
        <w:tc>
          <w:tcPr>
            <w:tcW w:w="1701" w:type="dxa"/>
            <w:vAlign w:val="center"/>
          </w:tcPr>
          <w:p w14:paraId="61821A7F" w14:textId="77777777" w:rsidR="00FA7D2D" w:rsidRPr="00FA7D2D" w:rsidRDefault="00E9069F" w:rsidP="003A782C">
            <w:pPr>
              <w:spacing w:before="0"/>
              <w:jc w:val="center"/>
              <w:rPr>
                <w:lang w:eastAsia="en-US"/>
              </w:rPr>
            </w:pPr>
            <w:r w:rsidRPr="00FA7D2D">
              <w:rPr>
                <w:lang w:eastAsia="en-US"/>
              </w:rPr>
              <w:t>10</w:t>
            </w:r>
          </w:p>
        </w:tc>
        <w:tc>
          <w:tcPr>
            <w:tcW w:w="3402" w:type="dxa"/>
            <w:shd w:val="clear" w:color="auto" w:fill="auto"/>
            <w:vAlign w:val="center"/>
          </w:tcPr>
          <w:p w14:paraId="61821A80" w14:textId="77777777" w:rsidR="00FA7D2D" w:rsidRPr="00FA7D2D" w:rsidRDefault="00E9069F" w:rsidP="003A782C">
            <w:pPr>
              <w:spacing w:before="0"/>
              <w:rPr>
                <w:lang w:eastAsia="en-US"/>
              </w:rPr>
            </w:pPr>
            <w:r w:rsidRPr="00FA7D2D">
              <w:rPr>
                <w:lang w:eastAsia="en-US"/>
              </w:rPr>
              <w:t>Labelled standard laboratory cupboard or, for Classes 4.1, 4.3 and 5.1, in small amounts throughout the laboratory</w:t>
            </w:r>
          </w:p>
        </w:tc>
      </w:tr>
      <w:tr w:rsidR="0059373B" w14:paraId="61821A88" w14:textId="77777777" w:rsidTr="003A782C">
        <w:trPr>
          <w:cantSplit/>
        </w:trPr>
        <w:tc>
          <w:tcPr>
            <w:tcW w:w="2835" w:type="dxa"/>
            <w:shd w:val="clear" w:color="auto" w:fill="auto"/>
            <w:vAlign w:val="center"/>
          </w:tcPr>
          <w:p w14:paraId="61821A82" w14:textId="77777777" w:rsidR="00FA7D2D" w:rsidRPr="00FA7D2D" w:rsidRDefault="00E9069F" w:rsidP="003A782C">
            <w:pPr>
              <w:spacing w:before="0"/>
              <w:jc w:val="left"/>
              <w:rPr>
                <w:lang w:eastAsia="en-US"/>
              </w:rPr>
            </w:pPr>
            <w:r w:rsidRPr="00FA7D2D">
              <w:rPr>
                <w:lang w:eastAsia="en-US"/>
              </w:rPr>
              <w:t>Class 6.1</w:t>
            </w:r>
          </w:p>
        </w:tc>
        <w:tc>
          <w:tcPr>
            <w:tcW w:w="1560" w:type="dxa"/>
            <w:shd w:val="clear" w:color="auto" w:fill="auto"/>
            <w:vAlign w:val="center"/>
          </w:tcPr>
          <w:p w14:paraId="61821A83" w14:textId="77777777" w:rsidR="00FA7D2D" w:rsidRPr="00FA7D2D" w:rsidRDefault="00E9069F" w:rsidP="003A782C">
            <w:pPr>
              <w:spacing w:before="0"/>
              <w:jc w:val="center"/>
              <w:rPr>
                <w:lang w:eastAsia="en-US"/>
              </w:rPr>
            </w:pPr>
            <w:r w:rsidRPr="00FA7D2D">
              <w:rPr>
                <w:lang w:eastAsia="en-US"/>
              </w:rPr>
              <w:t>PG I 10</w:t>
            </w:r>
          </w:p>
          <w:p w14:paraId="61821A84" w14:textId="77777777" w:rsidR="00FA7D2D" w:rsidRPr="00FA7D2D" w:rsidRDefault="00E9069F" w:rsidP="003A782C">
            <w:pPr>
              <w:spacing w:before="0"/>
              <w:jc w:val="center"/>
              <w:rPr>
                <w:lang w:eastAsia="en-US"/>
              </w:rPr>
            </w:pPr>
            <w:proofErr w:type="gramStart"/>
            <w:r w:rsidRPr="00FA7D2D">
              <w:rPr>
                <w:lang w:eastAsia="en-US"/>
              </w:rPr>
              <w:t>Other</w:t>
            </w:r>
            <w:proofErr w:type="gramEnd"/>
            <w:r w:rsidRPr="00FA7D2D">
              <w:rPr>
                <w:lang w:eastAsia="en-US"/>
              </w:rPr>
              <w:t xml:space="preserve"> 50</w:t>
            </w:r>
          </w:p>
        </w:tc>
        <w:tc>
          <w:tcPr>
            <w:tcW w:w="1701" w:type="dxa"/>
            <w:vAlign w:val="center"/>
          </w:tcPr>
          <w:p w14:paraId="61821A85" w14:textId="77777777" w:rsidR="00FA7D2D" w:rsidRPr="00FA7D2D" w:rsidRDefault="00E9069F" w:rsidP="003A782C">
            <w:pPr>
              <w:spacing w:before="0"/>
              <w:jc w:val="center"/>
              <w:rPr>
                <w:lang w:eastAsia="en-US"/>
              </w:rPr>
            </w:pPr>
            <w:r w:rsidRPr="00FA7D2D">
              <w:rPr>
                <w:lang w:eastAsia="en-US"/>
              </w:rPr>
              <w:t>PG I 10</w:t>
            </w:r>
          </w:p>
          <w:p w14:paraId="61821A86" w14:textId="77777777" w:rsidR="00FA7D2D" w:rsidRPr="00FA7D2D" w:rsidRDefault="00E9069F" w:rsidP="003A782C">
            <w:pPr>
              <w:spacing w:before="0"/>
              <w:jc w:val="center"/>
              <w:rPr>
                <w:lang w:eastAsia="en-US"/>
              </w:rPr>
            </w:pPr>
            <w:proofErr w:type="gramStart"/>
            <w:r w:rsidRPr="00FA7D2D">
              <w:rPr>
                <w:lang w:eastAsia="en-US"/>
              </w:rPr>
              <w:t>Other</w:t>
            </w:r>
            <w:proofErr w:type="gramEnd"/>
            <w:r w:rsidRPr="00FA7D2D">
              <w:rPr>
                <w:lang w:eastAsia="en-US"/>
              </w:rPr>
              <w:t xml:space="preserve"> 20</w:t>
            </w:r>
          </w:p>
        </w:tc>
        <w:tc>
          <w:tcPr>
            <w:tcW w:w="3402" w:type="dxa"/>
            <w:shd w:val="clear" w:color="auto" w:fill="auto"/>
            <w:vAlign w:val="center"/>
          </w:tcPr>
          <w:p w14:paraId="61821A87" w14:textId="77777777" w:rsidR="00FA7D2D" w:rsidRPr="00FA7D2D" w:rsidRDefault="00E9069F" w:rsidP="003A782C">
            <w:pPr>
              <w:spacing w:before="0"/>
              <w:rPr>
                <w:lang w:eastAsia="en-US"/>
              </w:rPr>
            </w:pPr>
            <w:r w:rsidRPr="00FA7D2D">
              <w:rPr>
                <w:lang w:eastAsia="en-US"/>
              </w:rPr>
              <w:t>Labelled standard laboratory cupboard or in small amounts throughout the laboratory</w:t>
            </w:r>
          </w:p>
        </w:tc>
      </w:tr>
      <w:tr w:rsidR="0059373B" w14:paraId="61821A8E" w14:textId="77777777" w:rsidTr="003A782C">
        <w:trPr>
          <w:cantSplit/>
        </w:trPr>
        <w:tc>
          <w:tcPr>
            <w:tcW w:w="2835" w:type="dxa"/>
            <w:shd w:val="clear" w:color="auto" w:fill="auto"/>
            <w:vAlign w:val="center"/>
          </w:tcPr>
          <w:p w14:paraId="61821A89" w14:textId="77777777" w:rsidR="00FA7D2D" w:rsidRPr="00FA7D2D" w:rsidRDefault="00E9069F" w:rsidP="003A782C">
            <w:pPr>
              <w:spacing w:before="0"/>
              <w:jc w:val="left"/>
              <w:rPr>
                <w:lang w:eastAsia="en-US"/>
              </w:rPr>
            </w:pPr>
            <w:r w:rsidRPr="00FA7D2D">
              <w:rPr>
                <w:lang w:eastAsia="en-US"/>
              </w:rPr>
              <w:t>Class 8</w:t>
            </w:r>
          </w:p>
        </w:tc>
        <w:tc>
          <w:tcPr>
            <w:tcW w:w="1560" w:type="dxa"/>
            <w:shd w:val="clear" w:color="auto" w:fill="auto"/>
            <w:vAlign w:val="center"/>
          </w:tcPr>
          <w:p w14:paraId="61821A8A" w14:textId="77777777" w:rsidR="00FA7D2D" w:rsidRPr="00FA7D2D" w:rsidRDefault="00E9069F" w:rsidP="003A782C">
            <w:pPr>
              <w:spacing w:before="0"/>
              <w:jc w:val="center"/>
              <w:rPr>
                <w:lang w:eastAsia="en-US"/>
              </w:rPr>
            </w:pPr>
            <w:r w:rsidRPr="00FA7D2D">
              <w:rPr>
                <w:lang w:eastAsia="en-US"/>
              </w:rPr>
              <w:t>20 for liquids</w:t>
            </w:r>
          </w:p>
          <w:p w14:paraId="61821A8B" w14:textId="77777777" w:rsidR="00FA7D2D" w:rsidRPr="00FA7D2D" w:rsidRDefault="00E9069F" w:rsidP="003A782C">
            <w:pPr>
              <w:spacing w:before="0"/>
              <w:jc w:val="center"/>
              <w:rPr>
                <w:lang w:eastAsia="en-US"/>
              </w:rPr>
            </w:pPr>
            <w:r w:rsidRPr="00FA7D2D">
              <w:rPr>
                <w:lang w:eastAsia="en-US"/>
              </w:rPr>
              <w:t>50 for solids</w:t>
            </w:r>
          </w:p>
        </w:tc>
        <w:tc>
          <w:tcPr>
            <w:tcW w:w="1701" w:type="dxa"/>
            <w:vAlign w:val="center"/>
          </w:tcPr>
          <w:p w14:paraId="61821A8C" w14:textId="77777777" w:rsidR="00FA7D2D" w:rsidRPr="00FA7D2D" w:rsidRDefault="00E9069F" w:rsidP="003A782C">
            <w:pPr>
              <w:spacing w:before="0"/>
              <w:jc w:val="center"/>
              <w:rPr>
                <w:lang w:eastAsia="en-US"/>
              </w:rPr>
            </w:pPr>
            <w:r w:rsidRPr="00FA7D2D">
              <w:rPr>
                <w:lang w:eastAsia="en-US"/>
              </w:rPr>
              <w:t>20</w:t>
            </w:r>
          </w:p>
        </w:tc>
        <w:tc>
          <w:tcPr>
            <w:tcW w:w="3402" w:type="dxa"/>
            <w:shd w:val="clear" w:color="auto" w:fill="auto"/>
            <w:vAlign w:val="center"/>
          </w:tcPr>
          <w:p w14:paraId="61821A8D" w14:textId="77777777" w:rsidR="00FA7D2D" w:rsidRPr="00FA7D2D" w:rsidRDefault="00E9069F" w:rsidP="003A782C">
            <w:pPr>
              <w:spacing w:before="0"/>
              <w:rPr>
                <w:lang w:eastAsia="en-US"/>
              </w:rPr>
            </w:pPr>
            <w:r w:rsidRPr="00FA7D2D">
              <w:rPr>
                <w:lang w:eastAsia="en-US"/>
              </w:rPr>
              <w:t>Labelled standard laboratory cupboard or in small amounts throughout the laboratory</w:t>
            </w:r>
          </w:p>
        </w:tc>
      </w:tr>
      <w:tr w:rsidR="0059373B" w14:paraId="61821A95" w14:textId="77777777" w:rsidTr="003A782C">
        <w:trPr>
          <w:cantSplit/>
        </w:trPr>
        <w:tc>
          <w:tcPr>
            <w:tcW w:w="2835" w:type="dxa"/>
            <w:shd w:val="clear" w:color="auto" w:fill="auto"/>
            <w:vAlign w:val="center"/>
          </w:tcPr>
          <w:p w14:paraId="61821A8F" w14:textId="77777777" w:rsidR="00FA7D2D" w:rsidRPr="00FA7D2D" w:rsidRDefault="00E9069F" w:rsidP="003A782C">
            <w:pPr>
              <w:spacing w:before="0"/>
              <w:jc w:val="left"/>
              <w:rPr>
                <w:lang w:eastAsia="en-US"/>
              </w:rPr>
            </w:pPr>
            <w:r w:rsidRPr="00FA7D2D">
              <w:rPr>
                <w:lang w:eastAsia="en-US"/>
              </w:rPr>
              <w:lastRenderedPageBreak/>
              <w:t>Class 9 and aerosols</w:t>
            </w:r>
          </w:p>
        </w:tc>
        <w:tc>
          <w:tcPr>
            <w:tcW w:w="1560" w:type="dxa"/>
            <w:shd w:val="clear" w:color="auto" w:fill="auto"/>
            <w:vAlign w:val="center"/>
          </w:tcPr>
          <w:p w14:paraId="61821A90" w14:textId="77777777" w:rsidR="00FA7D2D" w:rsidRPr="00FA7D2D" w:rsidRDefault="00E9069F" w:rsidP="003A782C">
            <w:pPr>
              <w:spacing w:before="0"/>
              <w:jc w:val="center"/>
              <w:rPr>
                <w:lang w:eastAsia="en-US"/>
              </w:rPr>
            </w:pPr>
            <w:r w:rsidRPr="00FA7D2D">
              <w:rPr>
                <w:lang w:eastAsia="en-US"/>
              </w:rPr>
              <w:t>50 for liquids</w:t>
            </w:r>
          </w:p>
          <w:p w14:paraId="61821A91" w14:textId="77777777" w:rsidR="00FA7D2D" w:rsidRPr="00FA7D2D" w:rsidRDefault="00E9069F" w:rsidP="003A782C">
            <w:pPr>
              <w:spacing w:before="0"/>
              <w:jc w:val="center"/>
              <w:rPr>
                <w:lang w:eastAsia="en-US"/>
              </w:rPr>
            </w:pPr>
            <w:r w:rsidRPr="00FA7D2D">
              <w:rPr>
                <w:lang w:eastAsia="en-US"/>
              </w:rPr>
              <w:t>100 for solids</w:t>
            </w:r>
          </w:p>
        </w:tc>
        <w:tc>
          <w:tcPr>
            <w:tcW w:w="1701" w:type="dxa"/>
            <w:vAlign w:val="center"/>
          </w:tcPr>
          <w:p w14:paraId="61821A92" w14:textId="77777777" w:rsidR="00FA7D2D" w:rsidRPr="00FA7D2D" w:rsidRDefault="00E9069F" w:rsidP="003A782C">
            <w:pPr>
              <w:spacing w:before="0"/>
              <w:jc w:val="center"/>
              <w:rPr>
                <w:lang w:eastAsia="en-US"/>
              </w:rPr>
            </w:pPr>
            <w:r w:rsidRPr="00FA7D2D">
              <w:rPr>
                <w:lang w:eastAsia="en-US"/>
              </w:rPr>
              <w:t>5 for liquids</w:t>
            </w:r>
          </w:p>
          <w:p w14:paraId="61821A93" w14:textId="77777777" w:rsidR="00FA7D2D" w:rsidRPr="00FA7D2D" w:rsidRDefault="00E9069F" w:rsidP="003A782C">
            <w:pPr>
              <w:spacing w:before="0"/>
              <w:jc w:val="center"/>
              <w:rPr>
                <w:lang w:eastAsia="en-US"/>
              </w:rPr>
            </w:pPr>
            <w:r w:rsidRPr="00FA7D2D">
              <w:rPr>
                <w:lang w:eastAsia="en-US"/>
              </w:rPr>
              <w:t>20 for solids</w:t>
            </w:r>
          </w:p>
        </w:tc>
        <w:tc>
          <w:tcPr>
            <w:tcW w:w="3402" w:type="dxa"/>
            <w:shd w:val="clear" w:color="auto" w:fill="auto"/>
            <w:vAlign w:val="center"/>
          </w:tcPr>
          <w:p w14:paraId="61821A94" w14:textId="77777777" w:rsidR="00FA7D2D" w:rsidRPr="00FA7D2D" w:rsidRDefault="00E9069F" w:rsidP="003A782C">
            <w:pPr>
              <w:spacing w:before="0"/>
              <w:rPr>
                <w:lang w:eastAsia="en-US"/>
              </w:rPr>
            </w:pPr>
            <w:r w:rsidRPr="00FA7D2D">
              <w:rPr>
                <w:lang w:eastAsia="en-US"/>
              </w:rPr>
              <w:t>Labelled standard laboratory cupboard or in small amounts throughout the laboratory</w:t>
            </w:r>
          </w:p>
        </w:tc>
      </w:tr>
      <w:tr w:rsidR="0059373B" w14:paraId="61821A9A" w14:textId="77777777" w:rsidTr="003A782C">
        <w:trPr>
          <w:cantSplit/>
        </w:trPr>
        <w:tc>
          <w:tcPr>
            <w:tcW w:w="2835" w:type="dxa"/>
            <w:shd w:val="clear" w:color="auto" w:fill="auto"/>
            <w:vAlign w:val="center"/>
          </w:tcPr>
          <w:p w14:paraId="61821A96" w14:textId="77777777" w:rsidR="00FA7D2D" w:rsidRPr="00FA7D2D" w:rsidRDefault="00E9069F" w:rsidP="003A782C">
            <w:pPr>
              <w:spacing w:before="0"/>
              <w:jc w:val="left"/>
              <w:rPr>
                <w:b/>
                <w:lang w:eastAsia="en-US"/>
              </w:rPr>
            </w:pPr>
            <w:r w:rsidRPr="00FA7D2D">
              <w:rPr>
                <w:b/>
                <w:lang w:eastAsia="en-US"/>
              </w:rPr>
              <w:t>Maximum aggregate quantity</w:t>
            </w:r>
          </w:p>
        </w:tc>
        <w:tc>
          <w:tcPr>
            <w:tcW w:w="1560" w:type="dxa"/>
            <w:shd w:val="clear" w:color="auto" w:fill="auto"/>
            <w:vAlign w:val="center"/>
          </w:tcPr>
          <w:p w14:paraId="61821A97" w14:textId="77777777" w:rsidR="00FA7D2D" w:rsidRPr="00FA7D2D" w:rsidRDefault="00E9069F" w:rsidP="003A782C">
            <w:pPr>
              <w:spacing w:before="0"/>
              <w:jc w:val="center"/>
              <w:rPr>
                <w:b/>
                <w:lang w:eastAsia="en-US"/>
              </w:rPr>
            </w:pPr>
            <w:r w:rsidRPr="00FA7D2D">
              <w:rPr>
                <w:b/>
                <w:lang w:eastAsia="en-US"/>
              </w:rPr>
              <w:t>200</w:t>
            </w:r>
          </w:p>
        </w:tc>
        <w:tc>
          <w:tcPr>
            <w:tcW w:w="1701" w:type="dxa"/>
            <w:vAlign w:val="center"/>
          </w:tcPr>
          <w:p w14:paraId="61821A98" w14:textId="77777777" w:rsidR="00FA7D2D" w:rsidRPr="00FA7D2D" w:rsidRDefault="00FA7D2D" w:rsidP="003A782C">
            <w:pPr>
              <w:spacing w:before="0"/>
              <w:jc w:val="center"/>
              <w:rPr>
                <w:b/>
                <w:lang w:eastAsia="en-US"/>
              </w:rPr>
            </w:pPr>
          </w:p>
        </w:tc>
        <w:tc>
          <w:tcPr>
            <w:tcW w:w="3402" w:type="dxa"/>
            <w:shd w:val="clear" w:color="auto" w:fill="auto"/>
            <w:vAlign w:val="center"/>
          </w:tcPr>
          <w:p w14:paraId="61821A99" w14:textId="77777777" w:rsidR="00FA7D2D" w:rsidRPr="00FA7D2D" w:rsidRDefault="00FA7D2D" w:rsidP="003A782C">
            <w:pPr>
              <w:spacing w:before="0"/>
              <w:rPr>
                <w:b/>
                <w:lang w:eastAsia="en-US"/>
              </w:rPr>
            </w:pPr>
          </w:p>
        </w:tc>
      </w:tr>
      <w:tr w:rsidR="0059373B" w14:paraId="61821AA0" w14:textId="77777777" w:rsidTr="003A782C">
        <w:trPr>
          <w:cantSplit/>
        </w:trPr>
        <w:tc>
          <w:tcPr>
            <w:tcW w:w="2835" w:type="dxa"/>
            <w:shd w:val="clear" w:color="auto" w:fill="auto"/>
            <w:vAlign w:val="center"/>
          </w:tcPr>
          <w:p w14:paraId="61821A9B" w14:textId="77777777" w:rsidR="00FA7D2D" w:rsidRPr="00FA7D2D" w:rsidRDefault="00E9069F" w:rsidP="003A782C">
            <w:pPr>
              <w:spacing w:before="0"/>
              <w:jc w:val="left"/>
              <w:rPr>
                <w:lang w:eastAsia="en-US"/>
              </w:rPr>
            </w:pPr>
            <w:r w:rsidRPr="00FA7D2D">
              <w:rPr>
                <w:lang w:eastAsia="en-US"/>
              </w:rPr>
              <w:t>Hazardous Substances</w:t>
            </w:r>
          </w:p>
        </w:tc>
        <w:tc>
          <w:tcPr>
            <w:tcW w:w="1560" w:type="dxa"/>
            <w:shd w:val="clear" w:color="auto" w:fill="auto"/>
            <w:vAlign w:val="center"/>
          </w:tcPr>
          <w:p w14:paraId="61821A9C" w14:textId="77777777" w:rsidR="00FA7D2D" w:rsidRPr="00FA7D2D" w:rsidRDefault="00FA7D2D" w:rsidP="003A782C">
            <w:pPr>
              <w:spacing w:before="0"/>
              <w:jc w:val="center"/>
              <w:rPr>
                <w:b/>
                <w:lang w:eastAsia="en-US"/>
              </w:rPr>
            </w:pPr>
          </w:p>
        </w:tc>
        <w:tc>
          <w:tcPr>
            <w:tcW w:w="1701" w:type="dxa"/>
            <w:vAlign w:val="center"/>
          </w:tcPr>
          <w:p w14:paraId="61821A9D" w14:textId="77777777" w:rsidR="00FA7D2D" w:rsidRPr="00FA7D2D" w:rsidRDefault="00E9069F" w:rsidP="003A782C">
            <w:pPr>
              <w:spacing w:before="0"/>
              <w:jc w:val="center"/>
              <w:rPr>
                <w:lang w:eastAsia="en-US"/>
              </w:rPr>
            </w:pPr>
            <w:r w:rsidRPr="00FA7D2D">
              <w:rPr>
                <w:lang w:eastAsia="en-US"/>
              </w:rPr>
              <w:t>5 for liquids</w:t>
            </w:r>
          </w:p>
          <w:p w14:paraId="61821A9E" w14:textId="77777777" w:rsidR="00FA7D2D" w:rsidRPr="00FA7D2D" w:rsidRDefault="00E9069F" w:rsidP="003A782C">
            <w:pPr>
              <w:spacing w:before="0"/>
              <w:jc w:val="center"/>
              <w:rPr>
                <w:lang w:eastAsia="en-US"/>
              </w:rPr>
            </w:pPr>
            <w:r w:rsidRPr="00FA7D2D">
              <w:rPr>
                <w:lang w:eastAsia="en-US"/>
              </w:rPr>
              <w:t>20 for solids</w:t>
            </w:r>
          </w:p>
        </w:tc>
        <w:tc>
          <w:tcPr>
            <w:tcW w:w="3402" w:type="dxa"/>
            <w:shd w:val="clear" w:color="auto" w:fill="auto"/>
            <w:vAlign w:val="center"/>
          </w:tcPr>
          <w:p w14:paraId="61821A9F" w14:textId="77777777" w:rsidR="00FA7D2D" w:rsidRPr="00FA7D2D" w:rsidRDefault="00E9069F" w:rsidP="003A782C">
            <w:pPr>
              <w:spacing w:before="0"/>
              <w:rPr>
                <w:lang w:eastAsia="en-US"/>
              </w:rPr>
            </w:pPr>
            <w:r w:rsidRPr="00FA7D2D">
              <w:rPr>
                <w:lang w:eastAsia="en-US"/>
              </w:rPr>
              <w:t>Labelled standard laboratory cupboard or in small amounts throughout the laboratory</w:t>
            </w:r>
          </w:p>
        </w:tc>
      </w:tr>
    </w:tbl>
    <w:p w14:paraId="61821AA1" w14:textId="77777777" w:rsidR="00FA7D2D" w:rsidRPr="00FA7D2D" w:rsidRDefault="00E9069F" w:rsidP="00FA7D2D">
      <w:pPr>
        <w:jc w:val="center"/>
        <w:rPr>
          <w:sz w:val="16"/>
          <w:lang w:eastAsia="en-US"/>
        </w:rPr>
      </w:pPr>
      <w:r w:rsidRPr="00FA7D2D">
        <w:rPr>
          <w:sz w:val="16"/>
          <w:lang w:eastAsia="en-US"/>
        </w:rPr>
        <w:t>Taken from AS/NZS 2243.10: 2004. Please refer to the AS for more details and additional table notes.</w:t>
      </w:r>
    </w:p>
    <w:p w14:paraId="61821AA3" w14:textId="77777777" w:rsidR="000E178D" w:rsidRDefault="00E9069F" w:rsidP="000E178D">
      <w:r>
        <w:t>Chemicals kept on shelves or racks shall be subject to the following restrictions:</w:t>
      </w:r>
    </w:p>
    <w:p w14:paraId="61821AA4" w14:textId="77777777" w:rsidR="000E178D" w:rsidRDefault="00E9069F" w:rsidP="00D62420">
      <w:pPr>
        <w:pStyle w:val="ListParagraph"/>
        <w:numPr>
          <w:ilvl w:val="0"/>
          <w:numId w:val="7"/>
        </w:numPr>
        <w:spacing w:before="120"/>
        <w:ind w:left="426" w:hanging="426"/>
        <w:contextualSpacing w:val="0"/>
      </w:pPr>
      <w:r>
        <w:t>Shelving and its fixtures shall be compatible with the goods stored, or shall be suitably protected from the goods (NOTE: the use of particle board is not recommended as they may fail when subjected to moisture or chemicals</w:t>
      </w:r>
    </w:p>
    <w:p w14:paraId="61821AA5" w14:textId="3DE9DD18" w:rsidR="000E178D" w:rsidRDefault="00E9069F" w:rsidP="00D62420">
      <w:pPr>
        <w:pStyle w:val="ListParagraph"/>
        <w:numPr>
          <w:ilvl w:val="0"/>
          <w:numId w:val="7"/>
        </w:numPr>
        <w:spacing w:before="120"/>
        <w:ind w:left="426" w:hanging="426"/>
        <w:contextualSpacing w:val="0"/>
      </w:pPr>
      <w:r>
        <w:t>Chemicals shall not be stored higher than 1.5m from the floor, the maximum holding capacity of the shelving systems shall not be exceeded</w:t>
      </w:r>
    </w:p>
    <w:p w14:paraId="61821AA6" w14:textId="77777777" w:rsidR="000E178D" w:rsidRDefault="00E9069F" w:rsidP="00D62420">
      <w:pPr>
        <w:pStyle w:val="ListParagraph"/>
        <w:numPr>
          <w:ilvl w:val="0"/>
          <w:numId w:val="7"/>
        </w:numPr>
        <w:spacing w:before="120"/>
        <w:ind w:left="426" w:hanging="426"/>
        <w:contextualSpacing w:val="0"/>
      </w:pPr>
      <w:r>
        <w:t>Shelves used for chemical storage shall be restrained against lateral movement and shall have lips on them to prevent containers being pushed through to the other side.</w:t>
      </w:r>
    </w:p>
    <w:p w14:paraId="61821AA7" w14:textId="77777777" w:rsidR="00A54B43" w:rsidRDefault="00E9069F" w:rsidP="005E44A4">
      <w:pPr>
        <w:pStyle w:val="Heading2"/>
      </w:pPr>
      <w:bookmarkStart w:id="137" w:name="_Toc19005537"/>
      <w:bookmarkStart w:id="138" w:name="_Toc101438983"/>
      <w:r>
        <w:t xml:space="preserve">10.7   Chemical Storage in </w:t>
      </w:r>
      <w:r w:rsidR="00650D2A">
        <w:t>Chemical Storage Cabinets</w:t>
      </w:r>
      <w:bookmarkEnd w:id="137"/>
      <w:bookmarkEnd w:id="138"/>
    </w:p>
    <w:p w14:paraId="61821AA8" w14:textId="18B59475" w:rsidR="00FA7D2D" w:rsidRPr="00FA7D2D" w:rsidRDefault="00E9069F" w:rsidP="00FA7D2D">
      <w:pPr>
        <w:rPr>
          <w:lang w:eastAsia="en-US"/>
        </w:rPr>
      </w:pPr>
      <w:r>
        <w:rPr>
          <w:lang w:eastAsia="en-US"/>
        </w:rPr>
        <w:t>Chemical storage cabinets are the recommended method of storage for chemicals in the laboratory. They are mandatory w</w:t>
      </w:r>
      <w:r w:rsidRPr="00FA7D2D">
        <w:rPr>
          <w:lang w:eastAsia="en-US"/>
        </w:rPr>
        <w:t xml:space="preserve">here there is a specific requirement to hold quantities </w:t>
      </w:r>
      <w:r>
        <w:rPr>
          <w:lang w:eastAsia="en-US"/>
        </w:rPr>
        <w:t>above those permitted in Table 6 within the laboratory.</w:t>
      </w:r>
      <w:r w:rsidRPr="00FA7D2D">
        <w:rPr>
          <w:lang w:eastAsia="en-US"/>
        </w:rPr>
        <w:t xml:space="preserve"> Chemicals in quantiti</w:t>
      </w:r>
      <w:r w:rsidR="00907B03">
        <w:rPr>
          <w:lang w:eastAsia="en-US"/>
        </w:rPr>
        <w:t>es above those stated in Table 6</w:t>
      </w:r>
      <w:r w:rsidRPr="00FA7D2D">
        <w:rPr>
          <w:lang w:eastAsia="en-US"/>
        </w:rPr>
        <w:t xml:space="preserve"> will be stored within a chemical storage cabinet. </w:t>
      </w:r>
    </w:p>
    <w:p w14:paraId="61821AA9" w14:textId="77777777" w:rsidR="00FA7D2D" w:rsidRPr="00FA7D2D" w:rsidRDefault="00E9069F" w:rsidP="00FA7D2D">
      <w:pPr>
        <w:rPr>
          <w:lang w:eastAsia="en-US"/>
        </w:rPr>
      </w:pPr>
      <w:r w:rsidRPr="00FA7D2D">
        <w:rPr>
          <w:lang w:eastAsia="en-US"/>
        </w:rPr>
        <w:t xml:space="preserve">The capacity of any chemical storage cabinet used in a laboratory to store chemicals of Classes 4.1, 4.2, 4.3, 5.1 or 5.2 shall not exceed 50 L. </w:t>
      </w:r>
      <w:r w:rsidR="00E44F87">
        <w:rPr>
          <w:lang w:eastAsia="en-US"/>
        </w:rPr>
        <w:t xml:space="preserve">For Class 3 any chemical storage cabinet located under a bench shall not exceed 30 L in capacity. </w:t>
      </w:r>
      <w:r w:rsidRPr="00FA7D2D">
        <w:rPr>
          <w:lang w:eastAsia="en-US"/>
        </w:rPr>
        <w:t>For other chemicals, the capacity shall not exceed 250 L.</w:t>
      </w:r>
    </w:p>
    <w:p w14:paraId="61821AAA" w14:textId="77777777" w:rsidR="00814A2F" w:rsidRDefault="00E9069F" w:rsidP="00FA7D2D">
      <w:pPr>
        <w:rPr>
          <w:lang w:eastAsia="en-US"/>
        </w:rPr>
      </w:pPr>
      <w:r>
        <w:rPr>
          <w:lang w:eastAsia="en-US"/>
        </w:rPr>
        <w:t>Containers shall not be stored within the bund or lower floor of chemical cabinets.</w:t>
      </w:r>
    </w:p>
    <w:p w14:paraId="61821AAB" w14:textId="77777777" w:rsidR="005513EA" w:rsidRDefault="00E9069F" w:rsidP="00FA7D2D">
      <w:r w:rsidRPr="00FA7D2D">
        <w:rPr>
          <w:lang w:eastAsia="en-US"/>
        </w:rPr>
        <w:t>Within a radius of 10 m, measured from any one cabinet, the cabinet storage capacity aggregated for all cabinets in that radius shall not exceed 250 L or 250 kg. Incompatible chemicals shall not be stored together. Separate chemical storage cabinets shall be used to maintain proper segregation.</w:t>
      </w:r>
      <w:r>
        <w:rPr>
          <w:lang w:eastAsia="en-US"/>
        </w:rPr>
        <w:t xml:space="preserve"> For further information refer to </w:t>
      </w:r>
      <w:r w:rsidRPr="0032625C">
        <w:rPr>
          <w:lang w:eastAsia="en-US"/>
        </w:rPr>
        <w:t xml:space="preserve">the </w:t>
      </w:r>
      <w:hyperlink r:id="rId50" w:history="1">
        <w:r w:rsidR="00A54B43" w:rsidRPr="00760388">
          <w:rPr>
            <w:rStyle w:val="Hyperlink"/>
          </w:rPr>
          <w:t>Guidance for the Storage of Chemicals</w:t>
        </w:r>
      </w:hyperlink>
      <w:r w:rsidR="00A54B43">
        <w:t>.</w:t>
      </w:r>
    </w:p>
    <w:p w14:paraId="61821AAC" w14:textId="090D1D94" w:rsidR="00FA7D2D" w:rsidRPr="00FA7D2D" w:rsidRDefault="00E9069F" w:rsidP="00FA7D2D">
      <w:pPr>
        <w:rPr>
          <w:lang w:eastAsia="en-US"/>
        </w:rPr>
      </w:pPr>
      <w:r>
        <w:t xml:space="preserve">Before obtaining a </w:t>
      </w:r>
      <w:r w:rsidR="005513EA">
        <w:t xml:space="preserve">chemical </w:t>
      </w:r>
      <w:r w:rsidR="005513EA">
        <w:rPr>
          <w:lang w:eastAsia="en-US"/>
        </w:rPr>
        <w:t xml:space="preserve">cabinet </w:t>
      </w:r>
      <w:r>
        <w:rPr>
          <w:lang w:eastAsia="en-US"/>
        </w:rPr>
        <w:t xml:space="preserve">confirm that a compliant location is ready. Refer to </w:t>
      </w:r>
      <w:hyperlink r:id="rId51" w:history="1">
        <w:r w:rsidRPr="00760388">
          <w:rPr>
            <w:rStyle w:val="Hyperlink"/>
          </w:rPr>
          <w:t>Guidance for the Storage of Chemicals</w:t>
        </w:r>
      </w:hyperlink>
      <w:r>
        <w:t xml:space="preserve"> and contact Health and Safety for advice.</w:t>
      </w:r>
    </w:p>
    <w:p w14:paraId="61821AAD" w14:textId="57347EC5" w:rsidR="003E319D" w:rsidRDefault="00E9069F" w:rsidP="005E44A4">
      <w:pPr>
        <w:pStyle w:val="Heading2"/>
      </w:pPr>
      <w:bookmarkStart w:id="139" w:name="_Toc19005538"/>
      <w:bookmarkStart w:id="140" w:name="_Toc101438984"/>
      <w:r>
        <w:t>10.</w:t>
      </w:r>
      <w:r w:rsidR="00A54B43">
        <w:t>8</w:t>
      </w:r>
      <w:r w:rsidR="002A2D7F">
        <w:t xml:space="preserve">   </w:t>
      </w:r>
      <w:r>
        <w:t>Chemical Storage Using Refrigerators</w:t>
      </w:r>
      <w:bookmarkEnd w:id="139"/>
      <w:bookmarkEnd w:id="140"/>
    </w:p>
    <w:p w14:paraId="61821AAE" w14:textId="77777777" w:rsidR="003E319D" w:rsidRDefault="00E9069F" w:rsidP="00E27BFA">
      <w:r>
        <w:t xml:space="preserve">Laboratory refrigerators that are used to store flammable solvents or other volatile chemicals may accumulate flammable or explosive atmospheres inside the unit. Under these conditions ignition sources from the refrigerator may cause an explosion. AS 2243.2 Section 4.4.3 (c) requires the following: </w:t>
      </w:r>
    </w:p>
    <w:p w14:paraId="61821AAF" w14:textId="77777777" w:rsidR="003E319D" w:rsidRDefault="00E9069F" w:rsidP="002D2118">
      <w:pPr>
        <w:pStyle w:val="Bullet1"/>
      </w:pPr>
      <w:r>
        <w:lastRenderedPageBreak/>
        <w:t xml:space="preserve">A refrigerator may be used to store flammable chemicals provided it has been designed and          manufactured to eliminate ignition sources. It may be possible for a domestic refrigerator to be modified by a competent person to eliminate ignition sources. </w:t>
      </w:r>
    </w:p>
    <w:p w14:paraId="61821AB0" w14:textId="77777777" w:rsidR="003E319D" w:rsidRDefault="00E9069F" w:rsidP="00391E62">
      <w:pPr>
        <w:pStyle w:val="Bullet1"/>
      </w:pPr>
      <w:r>
        <w:t xml:space="preserve">Domestic refrigerators or freezers shall not be used for storing flammable or explosive chemicals. The potential for hazardous situations arising through loss of electrical power is to be considered, for example, release of flammable or toxic </w:t>
      </w:r>
      <w:proofErr w:type="gramStart"/>
      <w:r>
        <w:t>vapours;</w:t>
      </w:r>
      <w:proofErr w:type="gramEnd"/>
      <w:r>
        <w:t xml:space="preserve"> energetic decomposition of reactive materials on warming.</w:t>
      </w:r>
    </w:p>
    <w:p w14:paraId="61821AB1" w14:textId="503E17DB" w:rsidR="003E319D" w:rsidRPr="0032625C" w:rsidRDefault="00E9069F" w:rsidP="00F614A2">
      <w:pPr>
        <w:pStyle w:val="Bullet1"/>
      </w:pPr>
      <w:r w:rsidRPr="0032625C">
        <w:t xml:space="preserve">‘Intrinsically safe’ purpose-built laboratory refrigerators or freezers are preferred for all chemical storage where refrigeration is required and is mandatory in the case of flammable or explosive chemicals.  </w:t>
      </w:r>
    </w:p>
    <w:p w14:paraId="61821AB2" w14:textId="77777777" w:rsidR="003E319D" w:rsidRDefault="00E9069F" w:rsidP="00F614A2">
      <w:pPr>
        <w:pStyle w:val="Bullet1"/>
      </w:pPr>
      <w:r>
        <w:t>Electrical equipment shall comply with AS 3000 – Electrical Installations if installed or other appropriate standards if portable.</w:t>
      </w:r>
    </w:p>
    <w:p w14:paraId="61821AB3" w14:textId="79260845" w:rsidR="003E319D" w:rsidRDefault="00E9069F" w:rsidP="00F614A2">
      <w:pPr>
        <w:pStyle w:val="Bullet1"/>
      </w:pPr>
      <w:r>
        <w:t xml:space="preserve">Storage of chemicals including wastes, shall be based on the properties and mutual </w:t>
      </w:r>
      <w:r w:rsidR="0032625C">
        <w:t>r</w:t>
      </w:r>
      <w:r w:rsidR="00907B03">
        <w:t>eactivities</w:t>
      </w:r>
      <w:r>
        <w:t xml:space="preserve"> of the chemicals. Incompatible chemicals shall be kept segregated from one another, </w:t>
      </w:r>
      <w:proofErr w:type="gramStart"/>
      <w:r>
        <w:t>e.g.</w:t>
      </w:r>
      <w:proofErr w:type="gramEnd"/>
      <w:r>
        <w:t xml:space="preserve"> by fire isolation in a chemical storage cabinet or segregation in space. A separate spill catchment shall be provided for each incompatible liquid.</w:t>
      </w:r>
    </w:p>
    <w:p w14:paraId="61821AB4" w14:textId="77777777" w:rsidR="003E319D" w:rsidRDefault="00E9069F" w:rsidP="00F614A2">
      <w:pPr>
        <w:pStyle w:val="Bullet1"/>
      </w:pPr>
      <w:r>
        <w:t>It is strictly forbidden to store food or drink items in laboratories unless they are for research purposes. Food or drink that will be consumed as part of a research study must be kept in a dedicated refrigerator which is not used for any other purpose. All other laboratory refrigerators must be clearly marked “</w:t>
      </w:r>
      <w:r w:rsidRPr="004A71F7">
        <w:rPr>
          <w:b/>
        </w:rPr>
        <w:t>NO FOOD OR DRINK ITEMS TO BE STORED IN THIS FRIDGE</w:t>
      </w:r>
      <w:r>
        <w:t>”.</w:t>
      </w:r>
    </w:p>
    <w:p w14:paraId="61821AB5" w14:textId="77777777" w:rsidR="002A2D7F" w:rsidRDefault="002A2D7F" w:rsidP="002A2D7F">
      <w:pPr>
        <w:pStyle w:val="Bullet1"/>
        <w:numPr>
          <w:ilvl w:val="0"/>
          <w:numId w:val="0"/>
        </w:numPr>
        <w:ind w:left="644" w:hanging="644"/>
      </w:pPr>
    </w:p>
    <w:p w14:paraId="61821AB8" w14:textId="4318257E" w:rsidR="003E319D" w:rsidRDefault="00E9069F" w:rsidP="005E44A4">
      <w:pPr>
        <w:pStyle w:val="Heading2"/>
      </w:pPr>
      <w:bookmarkStart w:id="141" w:name="_Toc19005539"/>
      <w:bookmarkStart w:id="142" w:name="_Toc101438985"/>
      <w:r>
        <w:t>10.</w:t>
      </w:r>
      <w:r w:rsidR="00A54B43">
        <w:t>9</w:t>
      </w:r>
      <w:r w:rsidR="002A2D7F">
        <w:t xml:space="preserve">   </w:t>
      </w:r>
      <w:r w:rsidR="00FA7D2D">
        <w:t>Chemical Stores</w:t>
      </w:r>
      <w:bookmarkEnd w:id="141"/>
      <w:bookmarkEnd w:id="142"/>
      <w:r w:rsidR="00FA7D2D">
        <w:t xml:space="preserve"> </w:t>
      </w:r>
    </w:p>
    <w:p w14:paraId="61821AB9" w14:textId="23F80BAD" w:rsidR="000E178D" w:rsidRDefault="00E9069F" w:rsidP="000E178D">
      <w:pPr>
        <w:rPr>
          <w:lang w:eastAsia="en-US"/>
        </w:rPr>
      </w:pPr>
      <w:r>
        <w:rPr>
          <w:lang w:eastAsia="en-US"/>
        </w:rPr>
        <w:t xml:space="preserve">For details of the requirements of chemical stores please refer to </w:t>
      </w:r>
      <w:r w:rsidRPr="0032625C">
        <w:rPr>
          <w:lang w:eastAsia="en-US"/>
        </w:rPr>
        <w:t xml:space="preserve">the </w:t>
      </w:r>
      <w:hyperlink r:id="rId52" w:history="1">
        <w:r w:rsidR="00A54B43" w:rsidRPr="00760388">
          <w:rPr>
            <w:rStyle w:val="Hyperlink"/>
          </w:rPr>
          <w:t>Guidance for the Storage of Chemicals</w:t>
        </w:r>
      </w:hyperlink>
      <w:r w:rsidRPr="0032625C">
        <w:rPr>
          <w:lang w:eastAsia="en-US"/>
        </w:rPr>
        <w:t>.</w:t>
      </w:r>
    </w:p>
    <w:p w14:paraId="61821ABA" w14:textId="7DE4A949" w:rsidR="00FE2BFC" w:rsidRPr="00DA7A13" w:rsidRDefault="00E9069F" w:rsidP="003A782C">
      <w:pPr>
        <w:pStyle w:val="Heading1"/>
        <w:numPr>
          <w:ilvl w:val="0"/>
          <w:numId w:val="0"/>
        </w:numPr>
        <w:tabs>
          <w:tab w:val="clear" w:pos="851"/>
          <w:tab w:val="left" w:pos="426"/>
        </w:tabs>
      </w:pPr>
      <w:bookmarkStart w:id="143" w:name="_Toc19005540"/>
      <w:bookmarkStart w:id="144" w:name="_Toc101438986"/>
      <w:r>
        <w:t>11.</w:t>
      </w:r>
      <w:r w:rsidR="002B145B">
        <w:tab/>
      </w:r>
      <w:r w:rsidRPr="00DA7A13">
        <w:t xml:space="preserve">Transportation </w:t>
      </w:r>
      <w:r>
        <w:t>of Chemicals</w:t>
      </w:r>
      <w:bookmarkEnd w:id="143"/>
      <w:bookmarkEnd w:id="144"/>
    </w:p>
    <w:p w14:paraId="61821ABB" w14:textId="4077EF93" w:rsidR="00FE2BFC" w:rsidRPr="00DA7A13" w:rsidRDefault="00E9069F" w:rsidP="005D0A07">
      <w:pPr>
        <w:pStyle w:val="Heading3"/>
        <w:ind w:left="851" w:hanging="851"/>
      </w:pPr>
      <w:bookmarkStart w:id="145" w:name="_Toc19005541"/>
      <w:r>
        <w:t>11.1</w:t>
      </w:r>
      <w:r w:rsidR="002B145B">
        <w:t xml:space="preserve">   </w:t>
      </w:r>
      <w:r w:rsidR="002A2D7F">
        <w:t>G</w:t>
      </w:r>
      <w:r w:rsidRPr="00DA7A13">
        <w:t>eneral</w:t>
      </w:r>
      <w:r>
        <w:t xml:space="preserve"> transport around campus</w:t>
      </w:r>
      <w:bookmarkEnd w:id="145"/>
    </w:p>
    <w:p w14:paraId="61821ABC" w14:textId="77777777" w:rsidR="00FE2BFC" w:rsidRPr="00DA7A13" w:rsidRDefault="00E9069F" w:rsidP="00FE2BFC">
      <w:r w:rsidRPr="00DA7A13">
        <w:t>The</w:t>
      </w:r>
      <w:r w:rsidR="00965A77">
        <w:t xml:space="preserve"> transport of samples,</w:t>
      </w:r>
      <w:r w:rsidRPr="00DA7A13">
        <w:t xml:space="preserve"> chemicals </w:t>
      </w:r>
      <w:r w:rsidR="004A71F7">
        <w:t xml:space="preserve">and/or gases </w:t>
      </w:r>
      <w:r w:rsidR="00965A77">
        <w:t>should be actively minimised.</w:t>
      </w:r>
      <w:r w:rsidRPr="00DA7A13">
        <w:t xml:space="preserve"> </w:t>
      </w:r>
    </w:p>
    <w:p w14:paraId="61821ABD" w14:textId="236B506F" w:rsidR="00FE2BFC" w:rsidRPr="00DA7A13" w:rsidRDefault="00E9069F" w:rsidP="00FE2BFC">
      <w:r w:rsidRPr="00DA7A13">
        <w:t>Chemicals should be purchased in quantities to be used at that time and not be stored for long periods of time. Where a chemical is required in more than one location</w:t>
      </w:r>
      <w:r w:rsidR="006E31B7">
        <w:t>,</w:t>
      </w:r>
      <w:r w:rsidRPr="00DA7A13">
        <w:t xml:space="preserve"> it shall be purchased in multiple small quantities and the chemical </w:t>
      </w:r>
      <w:r w:rsidR="006E31B7">
        <w:t>shall be</w:t>
      </w:r>
      <w:r w:rsidR="006E31B7" w:rsidRPr="00DA7A13">
        <w:t xml:space="preserve"> </w:t>
      </w:r>
      <w:r w:rsidRPr="00DA7A13">
        <w:t xml:space="preserve">delivered and stored at each location where it is required. </w:t>
      </w:r>
      <w:r w:rsidR="00965A77">
        <w:t>Where transport of chemical, samples and/or gases is deemed essential, a risk assessment of the transportation must be undertaken.</w:t>
      </w:r>
    </w:p>
    <w:p w14:paraId="61821ABE" w14:textId="089C8518" w:rsidR="00FE2BFC" w:rsidRPr="00DA7A13" w:rsidRDefault="00E9069F" w:rsidP="00FE2BFC">
      <w:r w:rsidRPr="00DA7A13">
        <w:t xml:space="preserve">The exception for transporting chemicals would be the </w:t>
      </w:r>
      <w:r w:rsidR="000662CC" w:rsidRPr="000662CC">
        <w:t xml:space="preserve">relocation </w:t>
      </w:r>
      <w:r w:rsidRPr="00DA7A13">
        <w:t>of research from one facility to another. At this time the preferred method of transportation will be for the move to be completed by an external party (Curtin approved contractor) which will be included as part of the move costs. The contractor can be arranged throu</w:t>
      </w:r>
      <w:r w:rsidR="00907B03">
        <w:t>gh</w:t>
      </w:r>
      <w:r w:rsidRPr="00DA7A13">
        <w:t xml:space="preserve"> </w:t>
      </w:r>
      <w:r w:rsidR="003B044E" w:rsidRPr="003B044E">
        <w:t>Curtin Properties, Facilities &amp; Development.</w:t>
      </w:r>
    </w:p>
    <w:p w14:paraId="61821ABF" w14:textId="688C6D34" w:rsidR="00FE2BFC" w:rsidRPr="00DA7A13" w:rsidRDefault="00E9069F" w:rsidP="005D0A07">
      <w:pPr>
        <w:pStyle w:val="Heading3"/>
      </w:pPr>
      <w:bookmarkStart w:id="146" w:name="_Toc19005542"/>
      <w:r>
        <w:t>11.2</w:t>
      </w:r>
      <w:r w:rsidR="002B145B">
        <w:t xml:space="preserve">   </w:t>
      </w:r>
      <w:r w:rsidRPr="00DA7A13">
        <w:t>Movement within a building /School area</w:t>
      </w:r>
      <w:bookmarkEnd w:id="146"/>
    </w:p>
    <w:p w14:paraId="61821AC0" w14:textId="68A9A12D" w:rsidR="00FE2BFC" w:rsidRPr="00DA7A13" w:rsidRDefault="00E9069F" w:rsidP="00FE2BFC">
      <w:r w:rsidRPr="00DA7A13">
        <w:t>The movement of chemicals within a building or school will be controlled and managed by the building manager</w:t>
      </w:r>
      <w:r w:rsidR="0062697F">
        <w:t>, laboratory manager,</w:t>
      </w:r>
      <w:r w:rsidRPr="00DA7A13">
        <w:t xml:space="preserve"> and/or </w:t>
      </w:r>
      <w:r w:rsidR="0062697F">
        <w:t>technical manager</w:t>
      </w:r>
      <w:r w:rsidRPr="00DA7A13">
        <w:t>. For transportation to occur the following must be properly documented and approved:</w:t>
      </w:r>
    </w:p>
    <w:p w14:paraId="61821AC1" w14:textId="77777777" w:rsidR="00FE2BFC" w:rsidRPr="00DA7A13" w:rsidRDefault="00E9069F" w:rsidP="002D2118">
      <w:pPr>
        <w:pStyle w:val="Bullet1"/>
      </w:pPr>
      <w:r w:rsidRPr="00DA7A13">
        <w:t>Risk assessment</w:t>
      </w:r>
    </w:p>
    <w:p w14:paraId="61821AC2" w14:textId="77777777" w:rsidR="00FE2BFC" w:rsidRPr="00DA7A13" w:rsidRDefault="00E9069F" w:rsidP="00391E62">
      <w:pPr>
        <w:pStyle w:val="Bullet1"/>
      </w:pPr>
      <w:r w:rsidRPr="00DA7A13">
        <w:lastRenderedPageBreak/>
        <w:t>Movement/traffic routes (starting point and finishing point)</w:t>
      </w:r>
    </w:p>
    <w:p w14:paraId="61821AC3" w14:textId="77777777" w:rsidR="00FE2BFC" w:rsidRPr="00DA7A13" w:rsidRDefault="00E9069F" w:rsidP="00F614A2">
      <w:pPr>
        <w:pStyle w:val="Bullet1"/>
      </w:pPr>
      <w:r w:rsidRPr="00DA7A13">
        <w:t>Time of movement</w:t>
      </w:r>
    </w:p>
    <w:p w14:paraId="61821AC4" w14:textId="77777777" w:rsidR="00FE2BFC" w:rsidRPr="00DA7A13" w:rsidRDefault="00E9069F" w:rsidP="00F614A2">
      <w:pPr>
        <w:pStyle w:val="Bullet1"/>
      </w:pPr>
      <w:r w:rsidRPr="00DA7A13">
        <w:t>Does the end location have all the requirements for that chemical</w:t>
      </w:r>
      <w:r w:rsidR="006E31B7">
        <w:t>?</w:t>
      </w:r>
    </w:p>
    <w:p w14:paraId="61821AC5" w14:textId="77777777" w:rsidR="00FE2BFC" w:rsidRPr="00DA7A13" w:rsidRDefault="00E9069F" w:rsidP="00F614A2">
      <w:pPr>
        <w:pStyle w:val="Bullet1"/>
      </w:pPr>
      <w:r w:rsidRPr="00DA7A13">
        <w:t>Package requirements</w:t>
      </w:r>
    </w:p>
    <w:p w14:paraId="61821AC6" w14:textId="77777777" w:rsidR="00FE2BFC" w:rsidRPr="00DA7A13" w:rsidRDefault="00E9069F" w:rsidP="00F614A2">
      <w:pPr>
        <w:pStyle w:val="Bullet1"/>
      </w:pPr>
      <w:r w:rsidRPr="00DA7A13">
        <w:t>Equipment requirements (</w:t>
      </w:r>
      <w:proofErr w:type="gramStart"/>
      <w:r w:rsidRPr="00DA7A13">
        <w:t>i.e.</w:t>
      </w:r>
      <w:proofErr w:type="gramEnd"/>
      <w:r w:rsidRPr="00DA7A13">
        <w:t xml:space="preserve"> trollies)</w:t>
      </w:r>
    </w:p>
    <w:p w14:paraId="61821AC7" w14:textId="77777777" w:rsidR="00FE2BFC" w:rsidRPr="00DA7A13" w:rsidRDefault="00E9069F" w:rsidP="00F614A2">
      <w:pPr>
        <w:pStyle w:val="Bullet1"/>
      </w:pPr>
      <w:r>
        <w:t>Adherence to SDS recommendations</w:t>
      </w:r>
    </w:p>
    <w:p w14:paraId="61821AC8" w14:textId="77777777" w:rsidR="00FE2BFC" w:rsidRPr="00DA7A13" w:rsidRDefault="00E9069F" w:rsidP="00FE2BFC">
      <w:r w:rsidRPr="00DA7A13">
        <w:t xml:space="preserve">The possibility of incompatible materials contacting one another, </w:t>
      </w:r>
      <w:proofErr w:type="gramStart"/>
      <w:r w:rsidRPr="00DA7A13">
        <w:t>as a result of</w:t>
      </w:r>
      <w:proofErr w:type="gramEnd"/>
      <w:r w:rsidRPr="00DA7A13">
        <w:t xml:space="preserve"> a container failure while being transported through or moved in the store, shall be evaluated. It shall be ensured that such materials can be conveyed in a manner which will not allow chemical interaction.</w:t>
      </w:r>
    </w:p>
    <w:p w14:paraId="61821AC9" w14:textId="666C0EF4" w:rsidR="00FE2BFC" w:rsidRPr="00DA7A13" w:rsidRDefault="00E9069F" w:rsidP="005D0A07">
      <w:pPr>
        <w:pStyle w:val="Heading3"/>
        <w:tabs>
          <w:tab w:val="left" w:pos="709"/>
        </w:tabs>
      </w:pPr>
      <w:bookmarkStart w:id="147" w:name="_Toc19005543"/>
      <w:r>
        <w:t>11.3</w:t>
      </w:r>
      <w:r w:rsidR="002B145B">
        <w:t xml:space="preserve"> </w:t>
      </w:r>
      <w:r w:rsidR="002A2D7F">
        <w:t xml:space="preserve">  </w:t>
      </w:r>
      <w:r w:rsidRPr="00DA7A13">
        <w:t>Field investigations</w:t>
      </w:r>
      <w:bookmarkEnd w:id="147"/>
    </w:p>
    <w:p w14:paraId="61821ACA" w14:textId="0FA52340" w:rsidR="00FE2BFC" w:rsidRPr="00DA7A13" w:rsidRDefault="00E9069F" w:rsidP="00FE2BFC">
      <w:r w:rsidRPr="00DA7A13">
        <w:t>Curtin does not and will not transport dangerous goods as defined in the Australian Dangerous Goods Code Edition 7.</w:t>
      </w:r>
      <w:r w:rsidR="00E47F62">
        <w:t>6</w:t>
      </w:r>
      <w:r w:rsidRPr="00DA7A13">
        <w:t xml:space="preserve">. If under exceptional circumstances dangerous goods of these quantities are required on </w:t>
      </w:r>
      <w:proofErr w:type="gramStart"/>
      <w:r w:rsidRPr="00DA7A13">
        <w:t>site</w:t>
      </w:r>
      <w:proofErr w:type="gramEnd"/>
      <w:r w:rsidRPr="00DA7A13">
        <w:t xml:space="preserve"> they will be transported by specialist contractor </w:t>
      </w:r>
      <w:r w:rsidR="00CF4891">
        <w:t>Licence</w:t>
      </w:r>
      <w:r w:rsidRPr="00DA7A13">
        <w:t xml:space="preserve">d to transport dangerous goods. </w:t>
      </w:r>
    </w:p>
    <w:p w14:paraId="61821ACB" w14:textId="4D45F6DC" w:rsidR="00FE2BFC" w:rsidRPr="00DA7A13" w:rsidRDefault="00E9069F" w:rsidP="00FE2BFC">
      <w:r w:rsidRPr="00DA7A13">
        <w:t xml:space="preserve">From time to time there may be a requirement to transport chemicals into the field. Any requirement for the transport of chemicals for field work should be identified at the start of a project as part of the </w:t>
      </w:r>
      <w:r w:rsidR="00110BF9">
        <w:t>risk assessment</w:t>
      </w:r>
      <w:r w:rsidRPr="00DA7A13">
        <w:t xml:space="preserve"> document</w:t>
      </w:r>
      <w:r w:rsidR="00110BF9">
        <w:t>ation</w:t>
      </w:r>
      <w:r w:rsidRPr="00DA7A13">
        <w:t xml:space="preserve">. All appropriate documentation identified </w:t>
      </w:r>
      <w:r w:rsidRPr="00250A7E">
        <w:t>in Section 7.</w:t>
      </w:r>
      <w:r w:rsidR="0062697F">
        <w:t>6</w:t>
      </w:r>
      <w:r w:rsidRPr="00DA7A13">
        <w:t xml:space="preserve"> must be developed and approved prior to going to site. </w:t>
      </w:r>
    </w:p>
    <w:p w14:paraId="61821ACC" w14:textId="2453910C" w:rsidR="00FE2BFC" w:rsidRDefault="00E9069F" w:rsidP="00FE2BFC">
      <w:r w:rsidRPr="00DA7A13">
        <w:t>In addition to the above documentation</w:t>
      </w:r>
      <w:r w:rsidR="00C90C92">
        <w:t>,</w:t>
      </w:r>
      <w:r w:rsidRPr="00DA7A13">
        <w:t xml:space="preserve"> any requirements of the </w:t>
      </w:r>
      <w:r w:rsidR="00C90C92">
        <w:t>Department of Mines, Industry Regulation and Safety (DMIRS)</w:t>
      </w:r>
      <w:r w:rsidR="00C90C92" w:rsidRPr="00DA7A13">
        <w:t xml:space="preserve"> </w:t>
      </w:r>
      <w:r w:rsidRPr="00DA7A13">
        <w:t xml:space="preserve">or </w:t>
      </w:r>
      <w:r w:rsidR="00C90C92">
        <w:t xml:space="preserve">those </w:t>
      </w:r>
      <w:r w:rsidRPr="00DA7A13">
        <w:t>presented in the Australian Dangerous Goods Code Edition 7.</w:t>
      </w:r>
      <w:r w:rsidR="00E47F62">
        <w:t>6</w:t>
      </w:r>
      <w:r w:rsidRPr="00DA7A13">
        <w:t xml:space="preserve"> for small quantities</w:t>
      </w:r>
      <w:r w:rsidR="00C90C92">
        <w:t>,</w:t>
      </w:r>
      <w:r w:rsidRPr="00DA7A13">
        <w:t xml:space="preserve"> must be adhered to. The requirements of the SDS must also be </w:t>
      </w:r>
      <w:r w:rsidR="00C90C92">
        <w:t>followed</w:t>
      </w:r>
      <w:r w:rsidRPr="00DA7A13">
        <w:t xml:space="preserve">. </w:t>
      </w:r>
    </w:p>
    <w:p w14:paraId="61821ACD" w14:textId="7FF17D03" w:rsidR="00DA7A13" w:rsidRPr="008F3E9A" w:rsidRDefault="00E9069F" w:rsidP="003A782C">
      <w:pPr>
        <w:pStyle w:val="Heading1"/>
        <w:numPr>
          <w:ilvl w:val="0"/>
          <w:numId w:val="0"/>
        </w:numPr>
        <w:tabs>
          <w:tab w:val="clear" w:pos="851"/>
          <w:tab w:val="left" w:pos="426"/>
        </w:tabs>
      </w:pPr>
      <w:bookmarkStart w:id="148" w:name="_Toc19005544"/>
      <w:bookmarkStart w:id="149" w:name="_Toc101438987"/>
      <w:r>
        <w:t>12.</w:t>
      </w:r>
      <w:r w:rsidR="002B145B">
        <w:tab/>
      </w:r>
      <w:r>
        <w:t>C</w:t>
      </w:r>
      <w:r w:rsidR="00C33646">
        <w:t xml:space="preserve">hemical </w:t>
      </w:r>
      <w:r w:rsidR="00490BBC">
        <w:t>Waste and Disposal</w:t>
      </w:r>
      <w:bookmarkEnd w:id="148"/>
      <w:bookmarkEnd w:id="149"/>
    </w:p>
    <w:p w14:paraId="61821ACE" w14:textId="77777777" w:rsidR="00DA7A13" w:rsidRPr="008F3E9A" w:rsidRDefault="00E9069F" w:rsidP="005E44A4">
      <w:pPr>
        <w:pStyle w:val="Heading2"/>
      </w:pPr>
      <w:bookmarkStart w:id="150" w:name="_Toc19005545"/>
      <w:bookmarkStart w:id="151" w:name="_Toc101438988"/>
      <w:r>
        <w:t xml:space="preserve">12.1   </w:t>
      </w:r>
      <w:r w:rsidR="005D0A07">
        <w:t>Introduction</w:t>
      </w:r>
      <w:bookmarkEnd w:id="150"/>
      <w:bookmarkEnd w:id="151"/>
    </w:p>
    <w:p w14:paraId="61821ACF" w14:textId="77777777" w:rsidR="00110BF9" w:rsidRDefault="00E9069F" w:rsidP="00B9065A">
      <w:pPr>
        <w:pStyle w:val="Bullet1"/>
        <w:numPr>
          <w:ilvl w:val="0"/>
          <w:numId w:val="0"/>
        </w:numPr>
      </w:pPr>
      <w:r>
        <w:t>Chemical waste and its disposal</w:t>
      </w:r>
      <w:r w:rsidRPr="008F3E9A">
        <w:t xml:space="preserve"> </w:t>
      </w:r>
      <w:proofErr w:type="gramStart"/>
      <w:r>
        <w:t>is</w:t>
      </w:r>
      <w:proofErr w:type="gramEnd"/>
      <w:r>
        <w:t xml:space="preserve"> controlled by the</w:t>
      </w:r>
      <w:r w:rsidR="00EA1442" w:rsidRPr="008F3E9A">
        <w:t xml:space="preserve"> Environmental Protection Act </w:t>
      </w:r>
      <w:r w:rsidR="00327590">
        <w:t xml:space="preserve">1986 </w:t>
      </w:r>
      <w:r w:rsidR="00EA1442" w:rsidRPr="008F3E9A">
        <w:t>and the</w:t>
      </w:r>
      <w:r w:rsidR="006B43F9" w:rsidRPr="008F3E9A">
        <w:t xml:space="preserve"> Environmental </w:t>
      </w:r>
      <w:r w:rsidR="00EA1442" w:rsidRPr="008F3E9A">
        <w:t>Protection (Cont</w:t>
      </w:r>
      <w:r>
        <w:t xml:space="preserve">rolled Waste) Regulations 2004 </w:t>
      </w:r>
      <w:r w:rsidR="00AD454E">
        <w:t xml:space="preserve">in order to protect the environment. </w:t>
      </w:r>
      <w:r w:rsidR="006B43F9" w:rsidRPr="008F3E9A">
        <w:t xml:space="preserve">For the purposes of this section, chemical waste </w:t>
      </w:r>
      <w:r>
        <w:t>is defined as</w:t>
      </w:r>
      <w:r w:rsidR="006B43F9" w:rsidRPr="008F3E9A">
        <w:t xml:space="preserve"> </w:t>
      </w:r>
      <w:r w:rsidR="00DA7A13" w:rsidRPr="008F3E9A">
        <w:t xml:space="preserve">any chemical whether solid, liquid, gaseous which is discharged, </w:t>
      </w:r>
      <w:proofErr w:type="gramStart"/>
      <w:r w:rsidR="00DA7A13" w:rsidRPr="008F3E9A">
        <w:t>emitted</w:t>
      </w:r>
      <w:proofErr w:type="gramEnd"/>
      <w:r w:rsidR="00DA7A13" w:rsidRPr="008F3E9A">
        <w:t xml:space="preserve"> or deposited in the environment in such volume, constituent or manner as to cause an</w:t>
      </w:r>
      <w:r w:rsidR="006B43F9" w:rsidRPr="008F3E9A">
        <w:t xml:space="preserve"> alteration in the environment. </w:t>
      </w:r>
    </w:p>
    <w:p w14:paraId="61821AD0" w14:textId="77777777" w:rsidR="00110BF9" w:rsidRDefault="00E9069F">
      <w:pPr>
        <w:pStyle w:val="Bullet1"/>
        <w:numPr>
          <w:ilvl w:val="0"/>
          <w:numId w:val="0"/>
        </w:numPr>
      </w:pPr>
      <w:r w:rsidRPr="008F3E9A">
        <w:t>Chemical waste includes any</w:t>
      </w:r>
      <w:r w:rsidR="00AD7C7D">
        <w:t xml:space="preserve"> otherwise discarded, rejected, unwanted, </w:t>
      </w:r>
      <w:proofErr w:type="gramStart"/>
      <w:r w:rsidRPr="008F3E9A">
        <w:t>surplus</w:t>
      </w:r>
      <w:proofErr w:type="gramEnd"/>
      <w:r w:rsidRPr="008F3E9A">
        <w:t xml:space="preserve"> </w:t>
      </w:r>
      <w:r w:rsidR="00AD7C7D">
        <w:t xml:space="preserve">or </w:t>
      </w:r>
      <w:r w:rsidR="00AD7C7D" w:rsidRPr="008F3E9A">
        <w:t>aba</w:t>
      </w:r>
      <w:r w:rsidR="00AD7C7D">
        <w:t xml:space="preserve">ndoned </w:t>
      </w:r>
      <w:r w:rsidRPr="008F3E9A">
        <w:t xml:space="preserve">chemical </w:t>
      </w:r>
      <w:r w:rsidR="00AD7C7D">
        <w:t xml:space="preserve">whether intended for sale or any further use </w:t>
      </w:r>
      <w:r w:rsidR="001146D7">
        <w:t xml:space="preserve">(including recycling) </w:t>
      </w:r>
      <w:r w:rsidR="00AD7C7D">
        <w:t>regardless of value</w:t>
      </w:r>
      <w:r w:rsidR="008F3E9A">
        <w:t>.</w:t>
      </w:r>
      <w:r w:rsidR="00C55125">
        <w:t xml:space="preserve"> </w:t>
      </w:r>
    </w:p>
    <w:p w14:paraId="61821AD1" w14:textId="657FEA55" w:rsidR="0041543E" w:rsidRDefault="00E9069F">
      <w:pPr>
        <w:pStyle w:val="Bullet1"/>
        <w:numPr>
          <w:ilvl w:val="0"/>
          <w:numId w:val="0"/>
        </w:numPr>
      </w:pPr>
      <w:r>
        <w:t xml:space="preserve">A full list of controlled waste can be found in Schedule 1 of the </w:t>
      </w:r>
      <w:r w:rsidRPr="00300DCF">
        <w:t>Environmental Protection (Controlled Waste) Regulations 2004</w:t>
      </w:r>
      <w:r w:rsidR="00F31BCB">
        <w:t>.</w:t>
      </w:r>
    </w:p>
    <w:p w14:paraId="61821AD3" w14:textId="0B416234" w:rsidR="00110BF9" w:rsidRPr="00B9065A" w:rsidRDefault="00E9069F" w:rsidP="00110BF9">
      <w:r w:rsidRPr="00B9065A">
        <w:t xml:space="preserve">Where practicable chemical waste should be reduced to lower the impact on the environment. For </w:t>
      </w:r>
      <w:proofErr w:type="gramStart"/>
      <w:r w:rsidRPr="00B9065A">
        <w:t>example</w:t>
      </w:r>
      <w:proofErr w:type="gramEnd"/>
      <w:r w:rsidRPr="00B9065A">
        <w:t xml:space="preserve"> a trained person could neutralise unwanted hydrochloric acid by adding sodium bi-carbonate. This would reduce the impact on the environment as transport of the waste would be eliminated. Please refer to the local area waste procedures and </w:t>
      </w:r>
      <w:r w:rsidR="00F31BCB">
        <w:t>W</w:t>
      </w:r>
      <w:r w:rsidRPr="00B9065A">
        <w:t xml:space="preserve">ater </w:t>
      </w:r>
      <w:r w:rsidR="00F31BCB">
        <w:t>C</w:t>
      </w:r>
      <w:r w:rsidRPr="00B9065A">
        <w:t>orporation</w:t>
      </w:r>
      <w:r w:rsidR="00F31BCB">
        <w:t>’s</w:t>
      </w:r>
      <w:r w:rsidRPr="00B9065A">
        <w:t xml:space="preserve"> </w:t>
      </w:r>
      <w:hyperlink r:id="rId53" w:history="1">
        <w:r w:rsidR="00F31BCB">
          <w:rPr>
            <w:rStyle w:val="Hyperlink"/>
          </w:rPr>
          <w:t>Trade Waste guidance</w:t>
        </w:r>
      </w:hyperlink>
      <w:r w:rsidRPr="00B9065A">
        <w:t>.</w:t>
      </w:r>
    </w:p>
    <w:p w14:paraId="61821AD4" w14:textId="77777777" w:rsidR="00785FC8" w:rsidRPr="00785FC8" w:rsidRDefault="00E9069F" w:rsidP="005E44A4">
      <w:pPr>
        <w:pStyle w:val="Heading2"/>
      </w:pPr>
      <w:bookmarkStart w:id="152" w:name="_Toc19005546"/>
      <w:bookmarkStart w:id="153" w:name="_Toc101438989"/>
      <w:r>
        <w:lastRenderedPageBreak/>
        <w:t xml:space="preserve">12.2   </w:t>
      </w:r>
      <w:r w:rsidR="005D0A07">
        <w:t>Responsibilities</w:t>
      </w:r>
      <w:bookmarkEnd w:id="152"/>
      <w:bookmarkEnd w:id="153"/>
    </w:p>
    <w:p w14:paraId="61821AD5" w14:textId="77777777" w:rsidR="00110BF9" w:rsidRDefault="00E9069F" w:rsidP="00713EBC">
      <w:r>
        <w:t xml:space="preserve">Heads of Schools and areas are responsible for ensuring there is sufficient waste management process in place. </w:t>
      </w:r>
      <w:r w:rsidR="00713EBC" w:rsidRPr="00785FC8">
        <w:t>Manager</w:t>
      </w:r>
      <w:r>
        <w:t>s</w:t>
      </w:r>
      <w:r w:rsidR="00713EBC" w:rsidRPr="00785FC8">
        <w:t>/Supervisor</w:t>
      </w:r>
      <w:r>
        <w:t>s</w:t>
      </w:r>
      <w:r w:rsidR="00713EBC" w:rsidRPr="00785FC8">
        <w:t xml:space="preserve"> must ensure, so far as is reasonably practicable, that chemicals are acquired in minimum quantities </w:t>
      </w:r>
      <w:r w:rsidR="00E729B7">
        <w:t xml:space="preserve">that mitigate or reduce waste. </w:t>
      </w:r>
      <w:r w:rsidR="00785FC8" w:rsidRPr="00785FC8">
        <w:t xml:space="preserve">Chemical waste remains the responsibility of the purchaser or producer until the point of its authorised discharge or </w:t>
      </w:r>
      <w:r w:rsidR="00AA617A">
        <w:t>disposal</w:t>
      </w:r>
      <w:r w:rsidR="00785FC8" w:rsidRPr="00785FC8">
        <w:t>.</w:t>
      </w:r>
      <w:r w:rsidR="00E729B7" w:rsidRPr="00E729B7">
        <w:t xml:space="preserve"> </w:t>
      </w:r>
    </w:p>
    <w:p w14:paraId="61821AD6" w14:textId="66611FDB" w:rsidR="00713EBC" w:rsidRPr="00785FC8" w:rsidRDefault="00E9069F" w:rsidP="00713EBC">
      <w:r w:rsidRPr="00785FC8">
        <w:t xml:space="preserve">Chemical waste should not be allowed to accumulate and must only be mixed with compatible </w:t>
      </w:r>
      <w:r w:rsidR="00F31BCB">
        <w:t>waste</w:t>
      </w:r>
      <w:r w:rsidRPr="00785FC8">
        <w:t>, personal protective equipment should be used when handling chemical waste as recommended in the SDS and risk assessment.</w:t>
      </w:r>
      <w:r>
        <w:t xml:space="preserve"> </w:t>
      </w:r>
    </w:p>
    <w:p w14:paraId="61821AD7" w14:textId="77777777" w:rsidR="00A464FD" w:rsidRPr="00AD7C7D" w:rsidRDefault="00E9069F" w:rsidP="005E44A4">
      <w:pPr>
        <w:pStyle w:val="Heading2"/>
      </w:pPr>
      <w:bookmarkStart w:id="154" w:name="_Toc19005547"/>
      <w:bookmarkStart w:id="155" w:name="_Toc101438990"/>
      <w:r>
        <w:t xml:space="preserve">12.3   </w:t>
      </w:r>
      <w:r w:rsidR="005831E3" w:rsidRPr="00AD7C7D">
        <w:t>Chemical Waste Disposal</w:t>
      </w:r>
      <w:bookmarkEnd w:id="154"/>
      <w:bookmarkEnd w:id="155"/>
      <w:r w:rsidR="005831E3" w:rsidRPr="00AD7C7D">
        <w:t xml:space="preserve"> </w:t>
      </w:r>
    </w:p>
    <w:p w14:paraId="61821AD8" w14:textId="77777777" w:rsidR="005B3744" w:rsidRDefault="00E9069F" w:rsidP="00A464FD">
      <w:pPr>
        <w:rPr>
          <w:lang w:eastAsia="en-US"/>
        </w:rPr>
      </w:pPr>
      <w:r>
        <w:rPr>
          <w:lang w:eastAsia="en-US"/>
        </w:rPr>
        <w:t xml:space="preserve">Chemical waste must be correctly handled, </w:t>
      </w:r>
      <w:proofErr w:type="gramStart"/>
      <w:r>
        <w:rPr>
          <w:lang w:eastAsia="en-US"/>
        </w:rPr>
        <w:t>stored</w:t>
      </w:r>
      <w:proofErr w:type="gramEnd"/>
      <w:r>
        <w:rPr>
          <w:lang w:eastAsia="en-US"/>
        </w:rPr>
        <w:t xml:space="preserve"> and labelled</w:t>
      </w:r>
      <w:r w:rsidR="00FA0E81">
        <w:rPr>
          <w:lang w:eastAsia="en-US"/>
        </w:rPr>
        <w:t xml:space="preserve"> to reduce the risk of spillage and unintended reactions</w:t>
      </w:r>
      <w:r>
        <w:rPr>
          <w:lang w:eastAsia="en-US"/>
        </w:rPr>
        <w:t xml:space="preserve">. The </w:t>
      </w:r>
      <w:hyperlink r:id="rId54" w:history="1">
        <w:r>
          <w:rPr>
            <w:rStyle w:val="Hyperlink"/>
            <w:rFonts w:cs="Arial"/>
            <w:color w:val="334E87"/>
            <w:sz w:val="21"/>
            <w:szCs w:val="21"/>
            <w:bdr w:val="none" w:sz="0" w:space="0" w:color="auto" w:frame="1"/>
          </w:rPr>
          <w:t>Managing Chemical Waste Guidelines</w:t>
        </w:r>
      </w:hyperlink>
      <w:r w:rsidR="00FA0E81">
        <w:t xml:space="preserve"> provides advice on managing these risks.</w:t>
      </w:r>
    </w:p>
    <w:p w14:paraId="61821AD9" w14:textId="1BF187DF" w:rsidR="008F3E9A" w:rsidRPr="00AD7C7D" w:rsidRDefault="00E9069F" w:rsidP="00A464FD">
      <w:pPr>
        <w:rPr>
          <w:lang w:eastAsia="en-US"/>
        </w:rPr>
      </w:pPr>
      <w:r w:rsidRPr="00AD7C7D">
        <w:rPr>
          <w:lang w:eastAsia="en-US"/>
        </w:rPr>
        <w:t xml:space="preserve">Curtin arranges for a licenced contractor to collect chemical waste </w:t>
      </w:r>
      <w:r w:rsidR="00F31BCB">
        <w:rPr>
          <w:lang w:eastAsia="en-US"/>
        </w:rPr>
        <w:t xml:space="preserve">regularly, please refer to Health and Safety’s </w:t>
      </w:r>
      <w:hyperlink r:id="rId55" w:history="1">
        <w:r w:rsidR="00F31BCB" w:rsidRPr="005B3744">
          <w:rPr>
            <w:rStyle w:val="Hyperlink"/>
            <w:lang w:eastAsia="en-US"/>
          </w:rPr>
          <w:t>website</w:t>
        </w:r>
      </w:hyperlink>
      <w:r w:rsidR="00F31BCB">
        <w:rPr>
          <w:lang w:eastAsia="en-US"/>
        </w:rPr>
        <w:t xml:space="preserve"> for collection detail</w:t>
      </w:r>
      <w:r w:rsidR="00B436CC">
        <w:rPr>
          <w:lang w:eastAsia="en-US"/>
        </w:rPr>
        <w:t>s</w:t>
      </w:r>
      <w:r w:rsidR="00FA0E81">
        <w:rPr>
          <w:lang w:eastAsia="en-US"/>
        </w:rPr>
        <w:t>.</w:t>
      </w:r>
      <w:r w:rsidR="00F31BCB">
        <w:rPr>
          <w:lang w:eastAsia="en-US"/>
        </w:rPr>
        <w:t xml:space="preserve"> </w:t>
      </w:r>
      <w:r w:rsidRPr="00AD7C7D">
        <w:rPr>
          <w:lang w:eastAsia="en-US"/>
        </w:rPr>
        <w:t xml:space="preserve">If </w:t>
      </w:r>
      <w:r w:rsidR="00AD454E" w:rsidRPr="00AD7C7D">
        <w:rPr>
          <w:lang w:eastAsia="en-US"/>
        </w:rPr>
        <w:t>individual areas require waste collection more frequently, the area can arrange an additional waste collection directly with the waste contractor.</w:t>
      </w:r>
      <w:r w:rsidR="003170D4" w:rsidRPr="00AD7C7D">
        <w:t xml:space="preserve"> Chemical disposal contractors will issue a receipt outlining the waste collected, which must be kept </w:t>
      </w:r>
      <w:r w:rsidR="00713EBC">
        <w:t xml:space="preserve">as a record </w:t>
      </w:r>
      <w:r w:rsidR="003170D4" w:rsidRPr="00AD7C7D">
        <w:t>for 3 years.</w:t>
      </w:r>
    </w:p>
    <w:p w14:paraId="61821ADA" w14:textId="77777777" w:rsidR="00AD7C7D" w:rsidRPr="00DF7405" w:rsidRDefault="00E9069F" w:rsidP="005E44A4">
      <w:pPr>
        <w:pStyle w:val="Heading2"/>
      </w:pPr>
      <w:bookmarkStart w:id="156" w:name="_Toc19005548"/>
      <w:bookmarkStart w:id="157" w:name="_Toc101438991"/>
      <w:r>
        <w:t xml:space="preserve">12.4   </w:t>
      </w:r>
      <w:r w:rsidRPr="00DF7405">
        <w:t>Trade waste</w:t>
      </w:r>
      <w:bookmarkEnd w:id="156"/>
      <w:bookmarkEnd w:id="157"/>
    </w:p>
    <w:p w14:paraId="61821ADB" w14:textId="4F405F75" w:rsidR="00110BF9" w:rsidRDefault="00B436CC" w:rsidP="00713EBC">
      <w:pPr>
        <w:rPr>
          <w:highlight w:val="yellow"/>
        </w:rPr>
      </w:pPr>
      <w:r>
        <w:rPr>
          <w:lang w:eastAsia="en-US"/>
        </w:rPr>
        <w:t xml:space="preserve">Some </w:t>
      </w:r>
      <w:r w:rsidR="00E9069F" w:rsidRPr="00DF7405">
        <w:rPr>
          <w:lang w:eastAsia="en-US"/>
        </w:rPr>
        <w:t xml:space="preserve">Curtin facilities have Trade Waste Permits </w:t>
      </w:r>
      <w:r w:rsidR="00AD7C7D" w:rsidRPr="00DF7405">
        <w:rPr>
          <w:lang w:eastAsia="en-US"/>
        </w:rPr>
        <w:t xml:space="preserve">that </w:t>
      </w:r>
      <w:r w:rsidR="00DF7405" w:rsidRPr="00DF7405">
        <w:rPr>
          <w:lang w:eastAsia="en-US"/>
        </w:rPr>
        <w:t xml:space="preserve">allow for certain types of chemical waste that meet stipulated acceptance criteria to be discharged by the sewer system. </w:t>
      </w:r>
      <w:r w:rsidR="00E9069F">
        <w:rPr>
          <w:lang w:eastAsia="en-US"/>
        </w:rPr>
        <w:t xml:space="preserve">However, </w:t>
      </w:r>
      <w:r w:rsidR="00E9069F" w:rsidRPr="00B9065A">
        <w:rPr>
          <w:lang w:eastAsia="en-US"/>
        </w:rPr>
        <w:t>c</w:t>
      </w:r>
      <w:r w:rsidR="00DF7405" w:rsidRPr="00B9065A">
        <w:rPr>
          <w:lang w:eastAsia="en-US"/>
        </w:rPr>
        <w:t>hemical waste disposal by a licenced contractor (as described in section 12.</w:t>
      </w:r>
      <w:r>
        <w:rPr>
          <w:lang w:eastAsia="en-US"/>
        </w:rPr>
        <w:t>3</w:t>
      </w:r>
      <w:r w:rsidR="00DF7405" w:rsidRPr="00B9065A">
        <w:rPr>
          <w:lang w:eastAsia="en-US"/>
        </w:rPr>
        <w:t>) is the preferred method of waste disposal.</w:t>
      </w:r>
      <w:r w:rsidR="00713EBC" w:rsidRPr="00B9065A">
        <w:t xml:space="preserve"> </w:t>
      </w:r>
    </w:p>
    <w:p w14:paraId="61821ADC" w14:textId="77777777" w:rsidR="005831E3" w:rsidRPr="00DF7405" w:rsidRDefault="00E9069F" w:rsidP="005E44A4">
      <w:pPr>
        <w:pStyle w:val="Heading2"/>
      </w:pPr>
      <w:bookmarkStart w:id="158" w:name="_Toc19005549"/>
      <w:bookmarkStart w:id="159" w:name="_Toc101438992"/>
      <w:r>
        <w:t xml:space="preserve">12.5   </w:t>
      </w:r>
      <w:r w:rsidRPr="00DF7405">
        <w:t>Labelling Chemical Waste</w:t>
      </w:r>
      <w:bookmarkEnd w:id="158"/>
      <w:bookmarkEnd w:id="159"/>
      <w:r w:rsidRPr="00DF7405">
        <w:t xml:space="preserve"> </w:t>
      </w:r>
    </w:p>
    <w:p w14:paraId="61821ADD" w14:textId="5F969DE2" w:rsidR="005831E3" w:rsidRPr="00DF7405" w:rsidRDefault="00E9069F" w:rsidP="005831E3">
      <w:r w:rsidRPr="00DF7405">
        <w:t>Where waste is collected for disposal</w:t>
      </w:r>
      <w:r w:rsidR="00D70CFE">
        <w:t>,</w:t>
      </w:r>
      <w:r w:rsidRPr="00DF7405">
        <w:t xml:space="preserve"> it must be stored in container that is fit for the purpose</w:t>
      </w:r>
      <w:r w:rsidR="00D70CFE">
        <w:t xml:space="preserve"> </w:t>
      </w:r>
      <w:proofErr w:type="gramStart"/>
      <w:r w:rsidR="00D70CFE">
        <w:t>and</w:t>
      </w:r>
      <w:r w:rsidR="00DC28D5">
        <w:t>,</w:t>
      </w:r>
      <w:proofErr w:type="gramEnd"/>
      <w:r w:rsidRPr="00DF7405">
        <w:t xml:space="preserve"> cleaned of spills on the outside</w:t>
      </w:r>
      <w:r w:rsidR="00D70CFE">
        <w:t xml:space="preserve">. </w:t>
      </w:r>
      <w:r w:rsidRPr="00DF7405">
        <w:t xml:space="preserve"> The label must contain the following information: </w:t>
      </w:r>
    </w:p>
    <w:p w14:paraId="61821ADE" w14:textId="77777777" w:rsidR="005831E3" w:rsidRPr="00DF7405" w:rsidRDefault="00E9069F" w:rsidP="00B9065A">
      <w:pPr>
        <w:pStyle w:val="Bullet1"/>
      </w:pPr>
      <w:r w:rsidRPr="00DF7405">
        <w:t xml:space="preserve">chemical name </w:t>
      </w:r>
      <w:proofErr w:type="gramStart"/>
      <w:r w:rsidRPr="00DF7405">
        <w:t>or ,</w:t>
      </w:r>
      <w:proofErr w:type="gramEnd"/>
      <w:r w:rsidRPr="00DF7405">
        <w:t xml:space="preserve"> mixture ingredients, waste category, waste type, UN No., class and HAZCHEM Code.; </w:t>
      </w:r>
    </w:p>
    <w:p w14:paraId="61821ADF" w14:textId="77777777" w:rsidR="005831E3" w:rsidRPr="00DF7405" w:rsidRDefault="00E9069F">
      <w:pPr>
        <w:pStyle w:val="Bullet1"/>
      </w:pPr>
      <w:r w:rsidRPr="00DF7405">
        <w:t xml:space="preserve">the statement “Chemical Waste </w:t>
      </w:r>
      <w:proofErr w:type="gramStart"/>
      <w:r w:rsidRPr="00DF7405">
        <w:t>For</w:t>
      </w:r>
      <w:proofErr w:type="gramEnd"/>
      <w:r w:rsidRPr="00DF7405">
        <w:t xml:space="preserve"> Disposal” on at least two sides of the container, departmental name and number; </w:t>
      </w:r>
    </w:p>
    <w:p w14:paraId="61821AE0" w14:textId="77777777" w:rsidR="005831E3" w:rsidRPr="00DF7405" w:rsidRDefault="00E9069F">
      <w:pPr>
        <w:pStyle w:val="Bullet1"/>
      </w:pPr>
      <w:r w:rsidRPr="00DF7405">
        <w:t xml:space="preserve">dangerous goods class label </w:t>
      </w:r>
      <w:r w:rsidR="00713EBC">
        <w:t xml:space="preserve">or GHS pictogram </w:t>
      </w:r>
      <w:r w:rsidR="00713EBC" w:rsidRPr="00DF7405">
        <w:t>(if applicable</w:t>
      </w:r>
      <w:proofErr w:type="gramStart"/>
      <w:r w:rsidR="00713EBC" w:rsidRPr="00DF7405">
        <w:t>);</w:t>
      </w:r>
      <w:proofErr w:type="gramEnd"/>
    </w:p>
    <w:p w14:paraId="61821AE1" w14:textId="77777777" w:rsidR="005831E3" w:rsidRPr="00DF7405" w:rsidRDefault="00E9069F">
      <w:pPr>
        <w:pStyle w:val="Bullet1"/>
      </w:pPr>
      <w:r w:rsidRPr="00DF7405">
        <w:t xml:space="preserve">packaging </w:t>
      </w:r>
      <w:proofErr w:type="gramStart"/>
      <w:r w:rsidRPr="00DF7405">
        <w:t>group;</w:t>
      </w:r>
      <w:proofErr w:type="gramEnd"/>
      <w:r w:rsidRPr="00DF7405">
        <w:t xml:space="preserve"> </w:t>
      </w:r>
    </w:p>
    <w:p w14:paraId="61821AE2" w14:textId="77777777" w:rsidR="005831E3" w:rsidRPr="00DF7405" w:rsidRDefault="00E9069F">
      <w:pPr>
        <w:pStyle w:val="Bullet1"/>
      </w:pPr>
      <w:r w:rsidRPr="00DF7405">
        <w:t>volume</w:t>
      </w:r>
    </w:p>
    <w:p w14:paraId="61821AE3" w14:textId="77777777" w:rsidR="00DA7A13" w:rsidRPr="008B14E6" w:rsidRDefault="00E9069F" w:rsidP="005E44A4">
      <w:pPr>
        <w:pStyle w:val="Heading2"/>
      </w:pPr>
      <w:bookmarkStart w:id="160" w:name="_Toc19005550"/>
      <w:bookmarkStart w:id="161" w:name="_Toc101438993"/>
      <w:r>
        <w:t xml:space="preserve">12.6   </w:t>
      </w:r>
      <w:r w:rsidRPr="008B14E6">
        <w:t>Storage of Chemical Waste</w:t>
      </w:r>
      <w:bookmarkEnd w:id="160"/>
      <w:bookmarkEnd w:id="161"/>
      <w:r w:rsidRPr="008B14E6">
        <w:t xml:space="preserve"> </w:t>
      </w:r>
    </w:p>
    <w:p w14:paraId="61821AE4" w14:textId="3033CC42" w:rsidR="00DA7A13" w:rsidRPr="008B14E6" w:rsidRDefault="00E9069F" w:rsidP="00DA7A13">
      <w:r w:rsidRPr="008B14E6">
        <w:t xml:space="preserve">Chemical waste must be stored appropriately (including segregation and bunding) so that the container/receptacle is impervious to rodents and insects and in such a way that it does not detrimentally affect the surrounding area by odour, visual pollution, air pollution, noise pollution and so on. </w:t>
      </w:r>
    </w:p>
    <w:p w14:paraId="61821AE5" w14:textId="77777777" w:rsidR="00DA7A13" w:rsidRPr="008B14E6" w:rsidRDefault="00E9069F" w:rsidP="00DA7A13">
      <w:r w:rsidRPr="008B14E6">
        <w:t xml:space="preserve">Chemical containers of some hazardous and/or dangerous goods may be classified as chemical wastes and require dedicated disposal. Check the SDS and the ChemAlert product information for information about a given chemical. All chemicals and used spill kits shall be disposed of safely in accordance with the Safety Data Sheet and legislated requirements, by an Environmental Protection Authority (EPA) approved registered contractor. </w:t>
      </w:r>
    </w:p>
    <w:p w14:paraId="61821AE6" w14:textId="77777777" w:rsidR="00DA7A13" w:rsidRDefault="00E9069F" w:rsidP="005E44A4">
      <w:pPr>
        <w:pStyle w:val="Heading2"/>
      </w:pPr>
      <w:bookmarkStart w:id="162" w:name="_Toc19005551"/>
      <w:bookmarkStart w:id="163" w:name="_Toc101438994"/>
      <w:r>
        <w:lastRenderedPageBreak/>
        <w:t xml:space="preserve">12.7   </w:t>
      </w:r>
      <w:r w:rsidR="00BE26C9">
        <w:t xml:space="preserve">Old or </w:t>
      </w:r>
      <w:r w:rsidRPr="008B14E6">
        <w:t>Obsolete Chemicals</w:t>
      </w:r>
      <w:bookmarkEnd w:id="162"/>
      <w:bookmarkEnd w:id="163"/>
    </w:p>
    <w:p w14:paraId="61821AE7" w14:textId="1D7AEAB3" w:rsidR="00BE26C9" w:rsidRDefault="00E9069F" w:rsidP="00BE26C9">
      <w:r w:rsidRPr="00BE26C9">
        <w:t>Chemicals older than 5 years shall be disposed of as a Curtin preference, unless appropriate justification can be made to keep it. The justification will need to include a current compliant SDS and approved risk assessment which includes an assessment of chemicals age, stability, container &amp; label.</w:t>
      </w:r>
      <w:r w:rsidRPr="00B073D5">
        <w:t xml:space="preserve">  </w:t>
      </w:r>
    </w:p>
    <w:p w14:paraId="0F8AA7D4" w14:textId="0079A1AF" w:rsidR="00A67BB8" w:rsidRPr="00B073D5" w:rsidRDefault="00A67BB8" w:rsidP="00BE26C9">
      <w:r w:rsidRPr="009F0D87">
        <w:rPr>
          <w:b/>
        </w:rPr>
        <w:t>Note:</w:t>
      </w:r>
      <w:r>
        <w:t xml:space="preserve"> R</w:t>
      </w:r>
      <w:r w:rsidRPr="0043047F">
        <w:t xml:space="preserve">efer </w:t>
      </w:r>
      <w:r>
        <w:t xml:space="preserve">also </w:t>
      </w:r>
      <w:r w:rsidRPr="0043047F">
        <w:t xml:space="preserve">to </w:t>
      </w:r>
      <w:r w:rsidRPr="003A782C">
        <w:rPr>
          <w:i/>
          <w:iCs/>
        </w:rPr>
        <w:t>Section 1</w:t>
      </w:r>
      <w:r w:rsidR="00602FE8">
        <w:rPr>
          <w:i/>
          <w:iCs/>
        </w:rPr>
        <w:t>0.5</w:t>
      </w:r>
      <w:r w:rsidRPr="003A782C">
        <w:rPr>
          <w:i/>
          <w:iCs/>
        </w:rPr>
        <w:t xml:space="preserve"> – Time Sensitive Chemicals</w:t>
      </w:r>
      <w:r>
        <w:t xml:space="preserve"> where specific maximum storage timeframes are required due to risk, with none exceeding 5 years.</w:t>
      </w:r>
    </w:p>
    <w:p w14:paraId="61821AE8" w14:textId="7A9296EC" w:rsidR="00DA7A13" w:rsidRPr="008B14E6" w:rsidRDefault="00E9069F" w:rsidP="00DA7A13">
      <w:r w:rsidRPr="008B14E6">
        <w:t>When y</w:t>
      </w:r>
      <w:r w:rsidR="00BE26C9">
        <w:t>ou</w:t>
      </w:r>
      <w:r w:rsidRPr="008B14E6">
        <w:t xml:space="preserve"> finish a project, leave a building/department or cease working at Curtin you must ensure that all chemicals</w:t>
      </w:r>
      <w:r w:rsidR="0043284D">
        <w:t>,</w:t>
      </w:r>
      <w:r w:rsidRPr="008B14E6">
        <w:t xml:space="preserve"> </w:t>
      </w:r>
      <w:proofErr w:type="gramStart"/>
      <w:r w:rsidRPr="008B14E6">
        <w:t>reagents</w:t>
      </w:r>
      <w:proofErr w:type="gramEnd"/>
      <w:r w:rsidRPr="008B14E6">
        <w:t xml:space="preserve"> </w:t>
      </w:r>
      <w:r w:rsidR="0043284D">
        <w:t xml:space="preserve">and chemical samples </w:t>
      </w:r>
      <w:r w:rsidRPr="008B14E6">
        <w:t xml:space="preserve">are safely </w:t>
      </w:r>
      <w:r w:rsidR="005042C9">
        <w:t xml:space="preserve">disposed of </w:t>
      </w:r>
      <w:r w:rsidR="005042C9" w:rsidRPr="008B14E6">
        <w:t>before you leave</w:t>
      </w:r>
      <w:r w:rsidR="005042C9">
        <w:t xml:space="preserve">. </w:t>
      </w:r>
      <w:proofErr w:type="gramStart"/>
      <w:r w:rsidR="005042C9">
        <w:t>Alternatively</w:t>
      </w:r>
      <w:proofErr w:type="gramEnd"/>
      <w:r w:rsidR="005042C9">
        <w:t xml:space="preserve"> they may be </w:t>
      </w:r>
      <w:r w:rsidR="008A08E0">
        <w:t xml:space="preserve">handed over </w:t>
      </w:r>
      <w:r w:rsidR="005042C9">
        <w:t>to a</w:t>
      </w:r>
      <w:r w:rsidR="008A08E0">
        <w:t>nother</w:t>
      </w:r>
      <w:r w:rsidR="005042C9">
        <w:t xml:space="preserve"> person familiar </w:t>
      </w:r>
      <w:r w:rsidRPr="008B14E6">
        <w:t xml:space="preserve">with </w:t>
      </w:r>
      <w:r w:rsidR="005042C9">
        <w:t>the hazards of those substances</w:t>
      </w:r>
      <w:r w:rsidR="008A08E0">
        <w:t xml:space="preserve"> if labelled with that person’s name and on the approval of your line manager</w:t>
      </w:r>
      <w:r w:rsidRPr="008B14E6">
        <w:t xml:space="preserve">. Check storage areas including fridges and freezers for any items that were your responsibility while at Curtin and arrange a chemical handover with your facility manager. </w:t>
      </w:r>
    </w:p>
    <w:p w14:paraId="61821AE9" w14:textId="77777777" w:rsidR="008B14E6" w:rsidRPr="001146D7" w:rsidRDefault="00E9069F" w:rsidP="005E44A4">
      <w:pPr>
        <w:pStyle w:val="Heading2"/>
      </w:pPr>
      <w:bookmarkStart w:id="164" w:name="_Toc19005552"/>
      <w:bookmarkStart w:id="165" w:name="_Toc101438995"/>
      <w:r>
        <w:t xml:space="preserve">12.8   </w:t>
      </w:r>
      <w:r w:rsidR="001146D7">
        <w:t>C</w:t>
      </w:r>
      <w:r w:rsidR="002D465C">
        <w:t>ontaminated items</w:t>
      </w:r>
      <w:bookmarkEnd w:id="164"/>
      <w:bookmarkEnd w:id="165"/>
    </w:p>
    <w:p w14:paraId="61821AEA" w14:textId="08160725" w:rsidR="00D245B0" w:rsidRDefault="00E9069F">
      <w:pPr>
        <w:pStyle w:val="Bullet1"/>
        <w:numPr>
          <w:ilvl w:val="0"/>
          <w:numId w:val="0"/>
        </w:numPr>
      </w:pPr>
      <w:r>
        <w:t>E</w:t>
      </w:r>
      <w:r w:rsidRPr="008F3E9A">
        <w:t>mpty chemical containers that have contained dangerous/hazardous goods or may still contain residue, contaminated equipment</w:t>
      </w:r>
      <w:r w:rsidR="00F859FE">
        <w:t xml:space="preserve"> or PPE</w:t>
      </w:r>
      <w:r w:rsidR="001A4867">
        <w:t>, broken glassware</w:t>
      </w:r>
      <w:r w:rsidR="00CB0507">
        <w:t xml:space="preserve">, </w:t>
      </w:r>
      <w:r w:rsidR="00F859FE">
        <w:t xml:space="preserve">and </w:t>
      </w:r>
      <w:r w:rsidR="00CB0507">
        <w:t>used spill kit items s</w:t>
      </w:r>
      <w:r>
        <w:t xml:space="preserve">hould </w:t>
      </w:r>
      <w:r w:rsidR="00CB0507">
        <w:t xml:space="preserve">also </w:t>
      </w:r>
      <w:r>
        <w:t>be treated as chemical wast</w:t>
      </w:r>
      <w:r w:rsidR="001146D7">
        <w:t>e.</w:t>
      </w:r>
      <w:r w:rsidR="00CB0507">
        <w:t xml:space="preserve"> </w:t>
      </w:r>
      <w:r w:rsidR="001146D7">
        <w:t xml:space="preserve">These items should be disposed of as laboratory waste </w:t>
      </w:r>
      <w:r w:rsidR="002727AC">
        <w:t xml:space="preserve">through the </w:t>
      </w:r>
      <w:proofErr w:type="spellStart"/>
      <w:r w:rsidR="002727AC">
        <w:t>MediC</w:t>
      </w:r>
      <w:r w:rsidR="001146D7">
        <w:t>ollect</w:t>
      </w:r>
      <w:proofErr w:type="spellEnd"/>
      <w:r w:rsidR="001146D7">
        <w:t xml:space="preserve"> </w:t>
      </w:r>
      <w:r w:rsidR="002727AC">
        <w:t>clinical waste system</w:t>
      </w:r>
      <w:r w:rsidR="001A4867">
        <w:t>, segregated where necessary from other types of controlled waste (</w:t>
      </w:r>
      <w:proofErr w:type="gramStart"/>
      <w:r w:rsidR="001A4867">
        <w:t>i.e.</w:t>
      </w:r>
      <w:proofErr w:type="gramEnd"/>
      <w:r w:rsidR="001A4867">
        <w:t xml:space="preserve"> biological waste </w:t>
      </w:r>
      <w:r w:rsidR="005044B4">
        <w:t>to be autoclaved rather than incinerated.)</w:t>
      </w:r>
      <w:r w:rsidR="00CB0507">
        <w:t xml:space="preserve"> </w:t>
      </w:r>
    </w:p>
    <w:p w14:paraId="61821AEB" w14:textId="501CC6D8" w:rsidR="00DA7A13" w:rsidRPr="00CB0507" w:rsidRDefault="00E9069F" w:rsidP="003A782C">
      <w:pPr>
        <w:pStyle w:val="Heading1"/>
        <w:numPr>
          <w:ilvl w:val="0"/>
          <w:numId w:val="0"/>
        </w:numPr>
        <w:tabs>
          <w:tab w:val="clear" w:pos="851"/>
          <w:tab w:val="left" w:pos="426"/>
        </w:tabs>
      </w:pPr>
      <w:bookmarkStart w:id="166" w:name="_Toc19005553"/>
      <w:bookmarkStart w:id="167" w:name="_Toc101438996"/>
      <w:r>
        <w:t>13</w:t>
      </w:r>
      <w:r>
        <w:tab/>
      </w:r>
      <w:r w:rsidR="00435BBD" w:rsidRPr="00CB0507">
        <w:t>Chemical spill or Gas leak</w:t>
      </w:r>
      <w:bookmarkEnd w:id="166"/>
      <w:bookmarkEnd w:id="167"/>
    </w:p>
    <w:p w14:paraId="61821AEC" w14:textId="77777777" w:rsidR="00B274FC" w:rsidRPr="00CB0507" w:rsidRDefault="00E9069F" w:rsidP="005E44A4">
      <w:pPr>
        <w:pStyle w:val="Heading2"/>
      </w:pPr>
      <w:bookmarkStart w:id="168" w:name="_Toc19005554"/>
      <w:bookmarkStart w:id="169" w:name="_Toc101438997"/>
      <w:r>
        <w:t xml:space="preserve">13.1   </w:t>
      </w:r>
      <w:r w:rsidR="00CB0507">
        <w:t xml:space="preserve">General </w:t>
      </w:r>
      <w:r w:rsidRPr="00CB0507">
        <w:t>U</w:t>
      </w:r>
      <w:r w:rsidR="00CB0507">
        <w:t>niversity Procedure</w:t>
      </w:r>
      <w:bookmarkEnd w:id="168"/>
      <w:bookmarkEnd w:id="169"/>
    </w:p>
    <w:p w14:paraId="61821AED" w14:textId="77777777" w:rsidR="00746777" w:rsidRDefault="00E9069F" w:rsidP="00746777">
      <w:pPr>
        <w:rPr>
          <w:lang w:eastAsia="en-US"/>
        </w:rPr>
      </w:pPr>
      <w:r w:rsidRPr="00CB0507">
        <w:rPr>
          <w:lang w:eastAsia="en-US"/>
        </w:rPr>
        <w:t xml:space="preserve">The Bentley Campus University Emergency Procedures Booklet </w:t>
      </w:r>
      <w:r w:rsidR="00CB0507">
        <w:rPr>
          <w:lang w:eastAsia="en-US"/>
        </w:rPr>
        <w:t xml:space="preserve">provides guidance for what to do </w:t>
      </w:r>
      <w:r w:rsidRPr="00CB0507">
        <w:rPr>
          <w:lang w:eastAsia="en-US"/>
        </w:rPr>
        <w:t>in the case of a chemical</w:t>
      </w:r>
      <w:r w:rsidR="00BC380D">
        <w:rPr>
          <w:lang w:eastAsia="en-US"/>
        </w:rPr>
        <w:t xml:space="preserve"> spill or gas leak, which are outlined below in section 13.1.1 and 13.1.2. </w:t>
      </w:r>
    </w:p>
    <w:p w14:paraId="61821AEF" w14:textId="0D7EBC93" w:rsidR="005B14BF" w:rsidRPr="005E7F3E" w:rsidRDefault="00E9069F" w:rsidP="00746777">
      <w:r w:rsidRPr="005E7F3E">
        <w:t xml:space="preserve">In a </w:t>
      </w:r>
      <w:proofErr w:type="gramStart"/>
      <w:r w:rsidRPr="005E7F3E">
        <w:t>life threatening</w:t>
      </w:r>
      <w:proofErr w:type="gramEnd"/>
      <w:r w:rsidRPr="005E7F3E">
        <w:t xml:space="preserve"> situation call 0 000. If there is an incident that requires an emergency response call </w:t>
      </w:r>
      <w:r w:rsidR="00255765">
        <w:t>Curtin Safer Communities</w:t>
      </w:r>
      <w:r w:rsidRPr="005E7F3E">
        <w:t xml:space="preserve"> </w:t>
      </w:r>
      <w:proofErr w:type="spellStart"/>
      <w:r w:rsidRPr="005E7F3E">
        <w:t>ext</w:t>
      </w:r>
      <w:proofErr w:type="spellEnd"/>
      <w:r w:rsidRPr="005E7F3E">
        <w:t xml:space="preserve"> 4444 and follow the procedures in </w:t>
      </w:r>
      <w:r w:rsidRPr="00B9065A">
        <w:t>Section 14</w:t>
      </w:r>
      <w:r>
        <w:t>.1</w:t>
      </w:r>
      <w:r w:rsidRPr="00B9065A">
        <w:t>.</w:t>
      </w:r>
      <w:r w:rsidRPr="005E7F3E">
        <w:t xml:space="preserve"> </w:t>
      </w:r>
    </w:p>
    <w:p w14:paraId="61821AF0" w14:textId="77777777" w:rsidR="005B14BF" w:rsidRDefault="00E9069F" w:rsidP="005B14BF">
      <w:pPr>
        <w:pStyle w:val="Heading3"/>
      </w:pPr>
      <w:bookmarkStart w:id="170" w:name="_Toc18591965"/>
      <w:bookmarkStart w:id="171" w:name="_Toc18671795"/>
      <w:bookmarkStart w:id="172" w:name="_Toc18675038"/>
      <w:bookmarkStart w:id="173" w:name="_Toc18675229"/>
      <w:bookmarkStart w:id="174" w:name="_Toc18675738"/>
      <w:bookmarkStart w:id="175" w:name="_Toc18678497"/>
      <w:bookmarkStart w:id="176" w:name="_Toc18678688"/>
      <w:bookmarkStart w:id="177" w:name="_Toc18678901"/>
      <w:bookmarkStart w:id="178" w:name="_Toc18679092"/>
      <w:bookmarkStart w:id="179" w:name="_Toc18679457"/>
      <w:bookmarkStart w:id="180" w:name="_Toc19005555"/>
      <w:bookmarkEnd w:id="170"/>
      <w:bookmarkEnd w:id="171"/>
      <w:bookmarkEnd w:id="172"/>
      <w:bookmarkEnd w:id="173"/>
      <w:bookmarkEnd w:id="174"/>
      <w:bookmarkEnd w:id="175"/>
      <w:bookmarkEnd w:id="176"/>
      <w:bookmarkEnd w:id="177"/>
      <w:bookmarkEnd w:id="178"/>
      <w:bookmarkEnd w:id="179"/>
      <w:r w:rsidRPr="004C377B">
        <w:t>13.1.1   Hazardous Material Spill or Gas Leak</w:t>
      </w:r>
      <w:bookmarkEnd w:id="180"/>
    </w:p>
    <w:p w14:paraId="61821AF3" w14:textId="77777777" w:rsidR="00B274FC" w:rsidRPr="00CB0507" w:rsidRDefault="00E9069F" w:rsidP="004C377B">
      <w:r w:rsidRPr="00CB0507">
        <w:t xml:space="preserve">If the identity of the chemical spill is unknown treat it as </w:t>
      </w:r>
      <w:r w:rsidR="00430CDA">
        <w:t xml:space="preserve">a </w:t>
      </w:r>
      <w:r w:rsidRPr="00CB0507">
        <w:t xml:space="preserve">poisonous material and do not attempt to clean up. </w:t>
      </w:r>
    </w:p>
    <w:p w14:paraId="61821AF4" w14:textId="77777777" w:rsidR="00B274FC" w:rsidRPr="00CB0507" w:rsidRDefault="00E9069F" w:rsidP="00B274FC">
      <w:r w:rsidRPr="00CB0507">
        <w:t xml:space="preserve">Attempts to contain or clean up spills or releases should not be attempted unless you have been trained to do so. </w:t>
      </w:r>
      <w:r w:rsidR="00091AF0" w:rsidRPr="00CB0507">
        <w:t xml:space="preserve">(See section </w:t>
      </w:r>
      <w:r w:rsidR="00BC380D" w:rsidRPr="00B9065A">
        <w:t>13.4</w:t>
      </w:r>
      <w:r w:rsidR="00430CDA">
        <w:t xml:space="preserve"> for spill response</w:t>
      </w:r>
      <w:r w:rsidR="00091AF0" w:rsidRPr="00B9065A">
        <w:t>)</w:t>
      </w:r>
    </w:p>
    <w:p w14:paraId="61821AF5" w14:textId="77777777" w:rsidR="00B274FC" w:rsidRPr="00CB0507" w:rsidRDefault="00E9069F" w:rsidP="00B274FC">
      <w:r w:rsidRPr="00CB0507">
        <w:rPr>
          <w:b/>
          <w:bCs/>
        </w:rPr>
        <w:t xml:space="preserve">Action Steps </w:t>
      </w:r>
    </w:p>
    <w:p w14:paraId="61821AF6" w14:textId="77777777" w:rsidR="00B274FC" w:rsidRPr="00CB0507" w:rsidRDefault="00E9069F" w:rsidP="00B9065A">
      <w:pPr>
        <w:pStyle w:val="Bullet1"/>
      </w:pPr>
      <w:r w:rsidRPr="00CB0507">
        <w:t xml:space="preserve">Advise others in the immediate area to vacate immediately and report to the assembly </w:t>
      </w:r>
      <w:proofErr w:type="gramStart"/>
      <w:r w:rsidRPr="00CB0507">
        <w:t>area;</w:t>
      </w:r>
      <w:proofErr w:type="gramEnd"/>
      <w:r w:rsidRPr="00CB0507">
        <w:t xml:space="preserve"> </w:t>
      </w:r>
    </w:p>
    <w:p w14:paraId="61821AF7" w14:textId="77777777" w:rsidR="00B274FC" w:rsidRPr="00CB0507" w:rsidRDefault="00E9069F" w:rsidP="00B9065A">
      <w:pPr>
        <w:pStyle w:val="Bullet1"/>
      </w:pPr>
      <w:r w:rsidRPr="00CB0507">
        <w:t xml:space="preserve">Upon leaving the contaminated area close all </w:t>
      </w:r>
      <w:proofErr w:type="gramStart"/>
      <w:r w:rsidRPr="00CB0507">
        <w:t>doors;</w:t>
      </w:r>
      <w:proofErr w:type="gramEnd"/>
      <w:r w:rsidRPr="00CB0507">
        <w:t xml:space="preserve"> </w:t>
      </w:r>
    </w:p>
    <w:p w14:paraId="61821AF8" w14:textId="77777777" w:rsidR="00B274FC" w:rsidRPr="00CB0507" w:rsidRDefault="00E9069F" w:rsidP="00B9065A">
      <w:pPr>
        <w:pStyle w:val="Bullet1"/>
      </w:pPr>
      <w:r w:rsidRPr="00CB0507">
        <w:t xml:space="preserve">Do not allow other people to enter the contaminated </w:t>
      </w:r>
      <w:proofErr w:type="gramStart"/>
      <w:r w:rsidRPr="00CB0507">
        <w:t>area;</w:t>
      </w:r>
      <w:proofErr w:type="gramEnd"/>
      <w:r w:rsidRPr="00CB0507">
        <w:t xml:space="preserve"> </w:t>
      </w:r>
    </w:p>
    <w:p w14:paraId="61821AF9" w14:textId="77777777" w:rsidR="00B274FC" w:rsidRPr="00CB0507" w:rsidRDefault="00E9069F" w:rsidP="00B9065A">
      <w:pPr>
        <w:pStyle w:val="Bullet1"/>
      </w:pPr>
      <w:r w:rsidRPr="00CB0507">
        <w:t xml:space="preserve">If anyone is contaminated set up an isolation area and if available assist them to a safety shower to wash off contamination. Affected area should be rinsed for a minimum of 15 </w:t>
      </w:r>
      <w:proofErr w:type="gramStart"/>
      <w:r w:rsidRPr="00CB0507">
        <w:t>minutes;</w:t>
      </w:r>
      <w:proofErr w:type="gramEnd"/>
      <w:r w:rsidRPr="00CB0507">
        <w:t xml:space="preserve"> </w:t>
      </w:r>
    </w:p>
    <w:p w14:paraId="61821AFA" w14:textId="1FC315DA" w:rsidR="00B274FC" w:rsidRPr="00CB0507" w:rsidRDefault="00E9069F" w:rsidP="00B9065A">
      <w:pPr>
        <w:pStyle w:val="Bullet1"/>
      </w:pPr>
      <w:r w:rsidRPr="00CB0507">
        <w:t xml:space="preserve">Report what you have seen and done to </w:t>
      </w:r>
      <w:r w:rsidR="00255765">
        <w:t>Curtin Safer Communities</w:t>
      </w:r>
      <w:r w:rsidRPr="00CB0507">
        <w:t xml:space="preserve"> at 4444 from an internal phone or 9266 4444 from an external </w:t>
      </w:r>
      <w:proofErr w:type="gramStart"/>
      <w:r w:rsidRPr="00CB0507">
        <w:t>phone;</w:t>
      </w:r>
      <w:proofErr w:type="gramEnd"/>
      <w:r w:rsidRPr="00CB0507">
        <w:t xml:space="preserve"> </w:t>
      </w:r>
    </w:p>
    <w:p w14:paraId="61821AFB" w14:textId="1A29FE7A" w:rsidR="00435BBD" w:rsidRPr="00CB0507" w:rsidRDefault="00E9069F" w:rsidP="00B9065A">
      <w:pPr>
        <w:pStyle w:val="Bullet1"/>
      </w:pPr>
      <w:r w:rsidRPr="00CB0507">
        <w:lastRenderedPageBreak/>
        <w:t xml:space="preserve">Do not re-enter the contaminated area until </w:t>
      </w:r>
      <w:proofErr w:type="gramStart"/>
      <w:r w:rsidRPr="00CB0507">
        <w:t>the all</w:t>
      </w:r>
      <w:proofErr w:type="gramEnd"/>
      <w:r w:rsidRPr="00CB0507">
        <w:t xml:space="preserve"> clear has been given by </w:t>
      </w:r>
      <w:r w:rsidR="00255765">
        <w:t>Curtin Safer Communities</w:t>
      </w:r>
      <w:r w:rsidRPr="00CB0507">
        <w:t xml:space="preserve"> or other emergency personnel.</w:t>
      </w:r>
    </w:p>
    <w:p w14:paraId="61821AFC" w14:textId="58143D39" w:rsidR="00B274FC" w:rsidRPr="00CB0507" w:rsidRDefault="00E9069F" w:rsidP="003A782C">
      <w:pPr>
        <w:pStyle w:val="Heading3"/>
        <w:ind w:left="851" w:hanging="851"/>
      </w:pPr>
      <w:bookmarkStart w:id="181" w:name="_Toc19005556"/>
      <w:r>
        <w:t xml:space="preserve">13.1.2   </w:t>
      </w:r>
      <w:r w:rsidRPr="00CB0507">
        <w:t>Gas leak or Flammable Liquid Spill.</w:t>
      </w:r>
      <w:bookmarkEnd w:id="181"/>
    </w:p>
    <w:p w14:paraId="61821AFD" w14:textId="77777777" w:rsidR="00435BBD" w:rsidRPr="00CB0507" w:rsidRDefault="00E9069F" w:rsidP="00B9065A">
      <w:pPr>
        <w:pStyle w:val="Bullet1"/>
      </w:pPr>
      <w:r w:rsidRPr="00CB0507">
        <w:t>Activate the alarm by pushing the break glass unit</w:t>
      </w:r>
      <w:r w:rsidR="002B1D24" w:rsidRPr="00CB0507">
        <w:t xml:space="preserve"> (Red box</w:t>
      </w:r>
      <w:proofErr w:type="gramStart"/>
      <w:r w:rsidR="002B1D24" w:rsidRPr="00CB0507">
        <w:t>);</w:t>
      </w:r>
      <w:proofErr w:type="gramEnd"/>
    </w:p>
    <w:p w14:paraId="61821AFE" w14:textId="77777777" w:rsidR="002B1D24" w:rsidRPr="00CB0507" w:rsidRDefault="00E9069F" w:rsidP="00B9065A">
      <w:pPr>
        <w:pStyle w:val="Bullet1"/>
      </w:pPr>
      <w:r w:rsidRPr="00CB0507">
        <w:t>Turn off all mobile phones</w:t>
      </w:r>
    </w:p>
    <w:p w14:paraId="61821AFF" w14:textId="77777777" w:rsidR="002B1D24" w:rsidRPr="00CB0507" w:rsidRDefault="00E9069F" w:rsidP="00B9065A">
      <w:pPr>
        <w:pStyle w:val="Bullet1"/>
      </w:pPr>
      <w:r w:rsidRPr="00CB0507">
        <w:t>Do not operate any electrical equipment</w:t>
      </w:r>
    </w:p>
    <w:p w14:paraId="61821B00" w14:textId="77777777" w:rsidR="002B1D24" w:rsidRDefault="00E9069F" w:rsidP="002A2D7F">
      <w:pPr>
        <w:pStyle w:val="Bullet1"/>
      </w:pPr>
      <w:r w:rsidRPr="00CB0507">
        <w:t>Advise others to clear the area immediately and report to the assembly point.</w:t>
      </w:r>
    </w:p>
    <w:p w14:paraId="61821B01" w14:textId="77777777" w:rsidR="005E7F3E" w:rsidRPr="005E7F3E" w:rsidRDefault="00E9069F" w:rsidP="005E44A4">
      <w:pPr>
        <w:pStyle w:val="Heading2"/>
      </w:pPr>
      <w:bookmarkStart w:id="182" w:name="_Toc19005557"/>
      <w:bookmarkStart w:id="183" w:name="_Toc101438998"/>
      <w:r>
        <w:t xml:space="preserve">13.2   </w:t>
      </w:r>
      <w:r w:rsidR="00420C0B">
        <w:t>P</w:t>
      </w:r>
      <w:r w:rsidRPr="005E7F3E">
        <w:t>reparedness</w:t>
      </w:r>
      <w:bookmarkEnd w:id="182"/>
      <w:bookmarkEnd w:id="183"/>
    </w:p>
    <w:p w14:paraId="61821B02" w14:textId="3EBC96B7" w:rsidR="005E7F3E" w:rsidRPr="005E7F3E" w:rsidRDefault="00E9069F" w:rsidP="005E7F3E">
      <w:r w:rsidRPr="005E7F3E">
        <w:t xml:space="preserve">Each workplace shall be prepared for a spill event. This will be different for each </w:t>
      </w:r>
      <w:proofErr w:type="gramStart"/>
      <w:r w:rsidRPr="005E7F3E">
        <w:t>laboratory</w:t>
      </w:r>
      <w:proofErr w:type="gramEnd"/>
      <w:r w:rsidRPr="005E7F3E">
        <w:t xml:space="preserve"> and it will be the responsibility of the </w:t>
      </w:r>
      <w:r w:rsidR="00430CDA">
        <w:t>l</w:t>
      </w:r>
      <w:r w:rsidRPr="005E7F3E">
        <w:t>ab</w:t>
      </w:r>
      <w:r w:rsidR="00430CDA">
        <w:t>oratory</w:t>
      </w:r>
      <w:r w:rsidRPr="005E7F3E">
        <w:t xml:space="preserve"> manager or area supervisor to ensure approp</w:t>
      </w:r>
      <w:r w:rsidR="00B970C7">
        <w:t>riate preparedness is in place</w:t>
      </w:r>
      <w:r w:rsidR="00430CDA">
        <w:t>.</w:t>
      </w:r>
    </w:p>
    <w:p w14:paraId="61821B03" w14:textId="77777777" w:rsidR="005E7F3E" w:rsidRPr="005E7F3E" w:rsidRDefault="00E9069F" w:rsidP="005E7F3E">
      <w:r w:rsidRPr="005E7F3E">
        <w:t>Procedures for the handling and management of spills will be documented and approved. The procedures will also state any special requirements (</w:t>
      </w:r>
      <w:proofErr w:type="gramStart"/>
      <w:r w:rsidRPr="005E7F3E">
        <w:t>i.e.</w:t>
      </w:r>
      <w:proofErr w:type="gramEnd"/>
      <w:r w:rsidRPr="005E7F3E">
        <w:t xml:space="preserve"> additional storage of calcium gluconate where HF is being used, the use of CO</w:t>
      </w:r>
      <w:r w:rsidRPr="00D2770D">
        <w:t>2</w:t>
      </w:r>
      <w:r w:rsidRPr="005E7F3E">
        <w:t xml:space="preserve"> or appropriate foam fire extinguishers where DG4.3 are being stored). </w:t>
      </w:r>
    </w:p>
    <w:p w14:paraId="61821B04" w14:textId="77777777" w:rsidR="005E7F3E" w:rsidRDefault="00E9069F" w:rsidP="005E7F3E">
      <w:r w:rsidRPr="005E7F3E">
        <w:t>All areas where chemicals are being used and stored will have appropriate s</w:t>
      </w:r>
      <w:r w:rsidR="00907B03">
        <w:t>p</w:t>
      </w:r>
      <w:r w:rsidRPr="005E7F3E">
        <w:t xml:space="preserve">ill kits and cleaning facilities. This may also include appropriate PPE suitable for the chemicals being cleaned up. </w:t>
      </w:r>
    </w:p>
    <w:p w14:paraId="61821B05" w14:textId="77777777" w:rsidR="005E7F3E" w:rsidRPr="005E7F3E" w:rsidRDefault="00E9069F" w:rsidP="005E44A4">
      <w:pPr>
        <w:pStyle w:val="Heading2"/>
      </w:pPr>
      <w:bookmarkStart w:id="184" w:name="_Toc19005558"/>
      <w:bookmarkStart w:id="185" w:name="_Toc101438999"/>
      <w:r>
        <w:t xml:space="preserve">13.3   </w:t>
      </w:r>
      <w:r w:rsidRPr="005E7F3E">
        <w:t xml:space="preserve">Spill prevention </w:t>
      </w:r>
      <w:r w:rsidR="001A7C6F">
        <w:t>and containment</w:t>
      </w:r>
      <w:bookmarkEnd w:id="184"/>
      <w:bookmarkEnd w:id="185"/>
    </w:p>
    <w:p w14:paraId="61821B06" w14:textId="77777777" w:rsidR="005E7F3E" w:rsidRPr="005E7F3E" w:rsidRDefault="00E9069F" w:rsidP="005E7F3E">
      <w:proofErr w:type="gramStart"/>
      <w:r w:rsidRPr="005E7F3E">
        <w:t>In order to</w:t>
      </w:r>
      <w:proofErr w:type="gramEnd"/>
      <w:r w:rsidRPr="005E7F3E">
        <w:t xml:space="preserve"> try and prevent spills the following will be undertaken/ available:</w:t>
      </w:r>
    </w:p>
    <w:p w14:paraId="61821B07" w14:textId="77777777" w:rsidR="00B970C7" w:rsidRPr="005E7F3E" w:rsidRDefault="00E9069F" w:rsidP="00B9065A">
      <w:pPr>
        <w:pStyle w:val="Bullet1"/>
      </w:pPr>
      <w:r w:rsidRPr="005E7F3E">
        <w:t xml:space="preserve">Procedures for the handling and management of spills </w:t>
      </w:r>
    </w:p>
    <w:p w14:paraId="61821B08" w14:textId="77777777" w:rsidR="005E7F3E" w:rsidRPr="005E7F3E" w:rsidRDefault="00E9069F">
      <w:pPr>
        <w:pStyle w:val="Bullet1"/>
      </w:pPr>
      <w:r w:rsidRPr="005E7F3E">
        <w:t xml:space="preserve">Display response steps and contact numbers in work locations where spills are foreseeable </w:t>
      </w:r>
    </w:p>
    <w:p w14:paraId="61821B09" w14:textId="77777777" w:rsidR="005E7F3E" w:rsidRPr="005E7F3E" w:rsidRDefault="00E9069F">
      <w:pPr>
        <w:pStyle w:val="Bullet1"/>
      </w:pPr>
      <w:r w:rsidRPr="005E7F3E">
        <w:t>Test chemical spill response preparedness at regular intervals</w:t>
      </w:r>
    </w:p>
    <w:p w14:paraId="61821B0A" w14:textId="032B52D6" w:rsidR="005E7F3E" w:rsidRPr="005E7F3E" w:rsidRDefault="00E9069F">
      <w:pPr>
        <w:pStyle w:val="Bullet1"/>
      </w:pPr>
      <w:r w:rsidRPr="005E7F3E">
        <w:t xml:space="preserve">Ensure a </w:t>
      </w:r>
      <w:r w:rsidR="00B2475E" w:rsidRPr="005E7F3E">
        <w:t xml:space="preserve">first aid kit </w:t>
      </w:r>
      <w:r w:rsidRPr="005E7F3E">
        <w:t>is available</w:t>
      </w:r>
      <w:r w:rsidR="00B2475E">
        <w:t xml:space="preserve"> and that the area has a designated </w:t>
      </w:r>
      <w:r w:rsidR="00B2475E" w:rsidRPr="005E7F3E">
        <w:t>First Aider</w:t>
      </w:r>
      <w:r w:rsidR="00B2475E">
        <w:t>. A</w:t>
      </w:r>
      <w:r w:rsidRPr="005E7F3E">
        <w:t xml:space="preserve">ny first aid provisions </w:t>
      </w:r>
      <w:r w:rsidR="00B2475E">
        <w:t xml:space="preserve">specific to a chemical must be accessible to the First Aider </w:t>
      </w:r>
      <w:r w:rsidRPr="005E7F3E">
        <w:t>(</w:t>
      </w:r>
      <w:proofErr w:type="gramStart"/>
      <w:r w:rsidRPr="005E7F3E">
        <w:t>e.g.</w:t>
      </w:r>
      <w:proofErr w:type="gramEnd"/>
      <w:r w:rsidRPr="005E7F3E">
        <w:t xml:space="preserve"> calcium gluconate for Hydrofluoric acid</w:t>
      </w:r>
      <w:r w:rsidR="00B2475E">
        <w:t xml:space="preserve"> or Medical Oxygen for cyanides</w:t>
      </w:r>
      <w:r w:rsidRPr="005E7F3E">
        <w:t>)</w:t>
      </w:r>
      <w:r w:rsidR="00B2475E">
        <w:t>, the First Aider must be appropriately trained in the use of these specific provisions.</w:t>
      </w:r>
    </w:p>
    <w:p w14:paraId="61821B0B" w14:textId="77777777" w:rsidR="005E7F3E" w:rsidRPr="005E7F3E" w:rsidRDefault="00E9069F">
      <w:pPr>
        <w:pStyle w:val="Bullet1"/>
      </w:pPr>
      <w:r w:rsidRPr="005E7F3E">
        <w:t xml:space="preserve">Suitable spill kits readily accessible and checked on a regular basis </w:t>
      </w:r>
    </w:p>
    <w:p w14:paraId="61821B0C" w14:textId="77777777" w:rsidR="005E7F3E" w:rsidRPr="005E7F3E" w:rsidRDefault="00E9069F">
      <w:pPr>
        <w:pStyle w:val="Bullet1"/>
      </w:pPr>
      <w:r w:rsidRPr="005E7F3E">
        <w:t>Spill kit are restocked/replaced after a spill event</w:t>
      </w:r>
    </w:p>
    <w:p w14:paraId="61821B0D" w14:textId="77777777" w:rsidR="005E7F3E" w:rsidRPr="005E7F3E" w:rsidRDefault="00E9069F">
      <w:pPr>
        <w:pStyle w:val="Bullet1"/>
      </w:pPr>
      <w:r w:rsidRPr="005E7F3E">
        <w:t xml:space="preserve">Provision of suitable PPE </w:t>
      </w:r>
    </w:p>
    <w:p w14:paraId="61821B0E" w14:textId="77777777" w:rsidR="005E7F3E" w:rsidRPr="005E7F3E" w:rsidRDefault="00E9069F">
      <w:pPr>
        <w:pStyle w:val="Bullet1"/>
      </w:pPr>
      <w:r w:rsidRPr="005E7F3E">
        <w:t>Access (within 10 Seconds) to an eye wash station and emergency shower</w:t>
      </w:r>
    </w:p>
    <w:p w14:paraId="61821B0F" w14:textId="3015840E" w:rsidR="005E7F3E" w:rsidRPr="005E7F3E" w:rsidRDefault="00E9069F">
      <w:pPr>
        <w:pStyle w:val="Bullet1"/>
      </w:pPr>
      <w:r w:rsidRPr="005E7F3E">
        <w:t xml:space="preserve">Provide safe facilities </w:t>
      </w:r>
      <w:proofErr w:type="gramStart"/>
      <w:r w:rsidRPr="005E7F3E">
        <w:t>e.g.</w:t>
      </w:r>
      <w:proofErr w:type="gramEnd"/>
      <w:r w:rsidRPr="005E7F3E">
        <w:t xml:space="preserve"> laboratory bench surfaces, drainage systems</w:t>
      </w:r>
      <w:r w:rsidR="00B2475E">
        <w:t>,</w:t>
      </w:r>
      <w:r w:rsidRPr="005E7F3E">
        <w:t xml:space="preserve"> ventilation systems</w:t>
      </w:r>
      <w:r w:rsidR="00B2475E">
        <w:t>, and floors cleared of trip hazards.</w:t>
      </w:r>
    </w:p>
    <w:p w14:paraId="61821B10" w14:textId="77777777" w:rsidR="005E7F3E" w:rsidRPr="005E7F3E" w:rsidRDefault="00E9069F">
      <w:pPr>
        <w:pStyle w:val="Bullet1"/>
      </w:pPr>
      <w:r w:rsidRPr="005E7F3E">
        <w:t>Ensure chemicals are stored appropriately including provision of well-sealed containers, bunding trays, cabinets with inbuilt spill retention, and stores with bunding</w:t>
      </w:r>
      <w:r w:rsidR="00B2475E">
        <w:t>.</w:t>
      </w:r>
    </w:p>
    <w:p w14:paraId="61821B11" w14:textId="4477DC4A" w:rsidR="005E7F3E" w:rsidRDefault="00E9069F">
      <w:pPr>
        <w:pStyle w:val="Bullet1"/>
      </w:pPr>
      <w:r w:rsidRPr="005E7F3E">
        <w:t xml:space="preserve">Ensure suitable equipment (fume cupboards and ventilation </w:t>
      </w:r>
      <w:r w:rsidR="00C36BBC">
        <w:t>systems) are available</w:t>
      </w:r>
      <w:r w:rsidR="00B2475E">
        <w:t>,</w:t>
      </w:r>
      <w:r w:rsidR="00C36BBC">
        <w:t xml:space="preserve"> </w:t>
      </w:r>
      <w:r w:rsidR="00B2475E">
        <w:t xml:space="preserve">tested and </w:t>
      </w:r>
      <w:r w:rsidR="00C36BBC">
        <w:t>used.</w:t>
      </w:r>
    </w:p>
    <w:p w14:paraId="61821B12" w14:textId="77777777" w:rsidR="00C36BBC" w:rsidRDefault="00C36BBC" w:rsidP="00B9065A">
      <w:pPr>
        <w:pStyle w:val="Bullet1"/>
        <w:numPr>
          <w:ilvl w:val="0"/>
          <w:numId w:val="0"/>
        </w:numPr>
        <w:ind w:left="644"/>
      </w:pPr>
    </w:p>
    <w:p w14:paraId="61821B13" w14:textId="77777777" w:rsidR="005E7F3E" w:rsidRPr="005E7F3E" w:rsidRDefault="00E9069F" w:rsidP="005E44A4">
      <w:pPr>
        <w:pStyle w:val="Heading2"/>
      </w:pPr>
      <w:bookmarkStart w:id="186" w:name="_Toc19005559"/>
      <w:bookmarkStart w:id="187" w:name="_Toc101439000"/>
      <w:r>
        <w:lastRenderedPageBreak/>
        <w:t xml:space="preserve">13.4   </w:t>
      </w:r>
      <w:r w:rsidRPr="005E7F3E">
        <w:t>Spill clean-up</w:t>
      </w:r>
      <w:bookmarkEnd w:id="186"/>
      <w:bookmarkEnd w:id="187"/>
    </w:p>
    <w:p w14:paraId="61821B14" w14:textId="454ACD23" w:rsidR="00D9133E" w:rsidRDefault="00E9069F" w:rsidP="005E7F3E">
      <w:r>
        <w:t>Spill clean-up should only be undertaken by trained personnel</w:t>
      </w:r>
      <w:r w:rsidR="00BC380D">
        <w:t xml:space="preserve"> who can </w:t>
      </w:r>
      <w:proofErr w:type="gramStart"/>
      <w:r w:rsidR="00BC380D">
        <w:t>make a</w:t>
      </w:r>
      <w:r>
        <w:t xml:space="preserve"> determin</w:t>
      </w:r>
      <w:r w:rsidR="00BC380D">
        <w:t>ation</w:t>
      </w:r>
      <w:proofErr w:type="gramEnd"/>
      <w:r w:rsidR="00BC380D">
        <w:t xml:space="preserve"> of if the spill clean-up </w:t>
      </w:r>
      <w:r>
        <w:t xml:space="preserve">can </w:t>
      </w:r>
      <w:r w:rsidR="00BC380D">
        <w:t xml:space="preserve">safely </w:t>
      </w:r>
      <w:r>
        <w:t>be managed</w:t>
      </w:r>
      <w:r w:rsidR="00BC380D">
        <w:t xml:space="preserve"> locally. </w:t>
      </w:r>
      <w:r>
        <w:t>Spill Response Procedures produced by the local area and the guidance of the SDS should be followed used in the first instance, where local procedures are not available the following general advice can be followed:</w:t>
      </w:r>
    </w:p>
    <w:p w14:paraId="61821B16" w14:textId="77777777" w:rsidR="005E7F3E" w:rsidRPr="005E7F3E" w:rsidRDefault="00E9069F" w:rsidP="00D62420">
      <w:pPr>
        <w:pStyle w:val="ListParagraph"/>
        <w:numPr>
          <w:ilvl w:val="1"/>
          <w:numId w:val="8"/>
        </w:numPr>
        <w:spacing w:before="120"/>
        <w:ind w:left="567" w:hanging="567"/>
        <w:contextualSpacing w:val="0"/>
      </w:pPr>
      <w:r w:rsidRPr="005E7F3E">
        <w:t xml:space="preserve">Ensure the surrounding area is secured and if appropriate evacuated. </w:t>
      </w:r>
    </w:p>
    <w:p w14:paraId="61821B17" w14:textId="77777777" w:rsidR="000E4436" w:rsidRDefault="00E9069F" w:rsidP="00D62420">
      <w:pPr>
        <w:pStyle w:val="ListParagraph"/>
        <w:numPr>
          <w:ilvl w:val="1"/>
          <w:numId w:val="8"/>
        </w:numPr>
        <w:spacing w:before="120"/>
        <w:ind w:left="567" w:hanging="567"/>
        <w:contextualSpacing w:val="0"/>
      </w:pPr>
      <w:r>
        <w:t xml:space="preserve">Assess the risks to yourself and others, obtain and consult the SDS of the chemical that has been spilled. </w:t>
      </w:r>
    </w:p>
    <w:p w14:paraId="61821B18" w14:textId="77777777" w:rsidR="00B13616" w:rsidRDefault="00E9069F" w:rsidP="00D62420">
      <w:pPr>
        <w:pStyle w:val="ListParagraph"/>
        <w:numPr>
          <w:ilvl w:val="1"/>
          <w:numId w:val="8"/>
        </w:numPr>
        <w:spacing w:before="120"/>
        <w:ind w:left="567" w:hanging="567"/>
        <w:contextualSpacing w:val="0"/>
      </w:pPr>
      <w:r>
        <w:t xml:space="preserve">Call for help from other trained personnel. If the event </w:t>
      </w:r>
      <w:r w:rsidR="004A1A39">
        <w:t xml:space="preserve">requires emergency </w:t>
      </w:r>
      <w:proofErr w:type="gramStart"/>
      <w:r w:rsidR="004A1A39">
        <w:t>services, or</w:t>
      </w:r>
      <w:proofErr w:type="gramEnd"/>
      <w:r w:rsidR="004A1A39">
        <w:t xml:space="preserve"> </w:t>
      </w:r>
      <w:r>
        <w:t>is beyond the capability of available personnel to control call Curtin Safer Communities on 9266 4444 immediately</w:t>
      </w:r>
      <w:r w:rsidR="004A1A39">
        <w:t xml:space="preserve"> as per section 14.</w:t>
      </w:r>
    </w:p>
    <w:p w14:paraId="61821B19" w14:textId="346165DF" w:rsidR="005E7F3E" w:rsidRPr="005E7F3E" w:rsidRDefault="00E9069F" w:rsidP="00D62420">
      <w:pPr>
        <w:pStyle w:val="ListParagraph"/>
        <w:numPr>
          <w:ilvl w:val="1"/>
          <w:numId w:val="8"/>
        </w:numPr>
        <w:spacing w:before="120"/>
        <w:ind w:left="567" w:hanging="567"/>
        <w:contextualSpacing w:val="0"/>
      </w:pPr>
      <w:r w:rsidRPr="005E7F3E">
        <w:t xml:space="preserve">If safe to do so, stop </w:t>
      </w:r>
      <w:r w:rsidR="00B13616">
        <w:t xml:space="preserve">and contain </w:t>
      </w:r>
      <w:r w:rsidRPr="005E7F3E">
        <w:t>the spill</w:t>
      </w:r>
      <w:r w:rsidR="00B13616">
        <w:t>.</w:t>
      </w:r>
      <w:r w:rsidR="004A1A39">
        <w:t xml:space="preserve"> Protect nearby drains from the spill.</w:t>
      </w:r>
    </w:p>
    <w:p w14:paraId="61821B1A" w14:textId="77777777" w:rsidR="005E7F3E" w:rsidRPr="005E7F3E" w:rsidRDefault="00E9069F" w:rsidP="00D62420">
      <w:pPr>
        <w:pStyle w:val="ListParagraph"/>
        <w:numPr>
          <w:ilvl w:val="1"/>
          <w:numId w:val="8"/>
        </w:numPr>
        <w:spacing w:before="120"/>
        <w:ind w:left="567" w:hanging="567"/>
        <w:contextualSpacing w:val="0"/>
      </w:pPr>
      <w:r w:rsidRPr="005E7F3E">
        <w:t>Ensure any casualties are accounted for. If safe, apply first aid (this includes moving to emergency shower and eye wash) and/or if appropriate move to a safe location</w:t>
      </w:r>
      <w:r w:rsidR="00B13616">
        <w:t>.</w:t>
      </w:r>
    </w:p>
    <w:p w14:paraId="61821B1B" w14:textId="2969CBBC" w:rsidR="005E7F3E" w:rsidRPr="005E7F3E" w:rsidRDefault="00E9069F" w:rsidP="00D62420">
      <w:pPr>
        <w:pStyle w:val="ListParagraph"/>
        <w:numPr>
          <w:ilvl w:val="1"/>
          <w:numId w:val="8"/>
        </w:numPr>
        <w:spacing w:before="120"/>
        <w:ind w:left="567" w:hanging="567"/>
        <w:contextualSpacing w:val="0"/>
      </w:pPr>
      <w:r w:rsidRPr="005E7F3E">
        <w:t>Ensure the lab</w:t>
      </w:r>
      <w:r w:rsidR="00B13616">
        <w:t>oratory</w:t>
      </w:r>
      <w:r w:rsidRPr="005E7F3E">
        <w:t xml:space="preserve"> manager </w:t>
      </w:r>
      <w:r w:rsidR="00B13616">
        <w:t xml:space="preserve">or </w:t>
      </w:r>
      <w:r w:rsidRPr="005E7F3E">
        <w:t>supervisor has been informed of the incident</w:t>
      </w:r>
      <w:r w:rsidR="004A1A39">
        <w:t>.</w:t>
      </w:r>
    </w:p>
    <w:p w14:paraId="61821B1C" w14:textId="77777777" w:rsidR="005E7F3E" w:rsidRPr="005E7F3E" w:rsidRDefault="00E9069F" w:rsidP="00D62420">
      <w:pPr>
        <w:pStyle w:val="ListParagraph"/>
        <w:numPr>
          <w:ilvl w:val="1"/>
          <w:numId w:val="8"/>
        </w:numPr>
        <w:spacing w:before="120"/>
        <w:ind w:left="567" w:hanging="567"/>
        <w:contextualSpacing w:val="0"/>
      </w:pPr>
      <w:r w:rsidRPr="005E7F3E">
        <w:t xml:space="preserve">If safe to do so, start cleaning up the spill following the procedures developed: </w:t>
      </w:r>
    </w:p>
    <w:p w14:paraId="61821B1D" w14:textId="77777777" w:rsidR="005E7F3E" w:rsidRPr="005E7F3E" w:rsidRDefault="00E9069F" w:rsidP="004A1A39">
      <w:pPr>
        <w:pStyle w:val="Bullet1"/>
        <w:ind w:left="851" w:hanging="284"/>
      </w:pPr>
      <w:r w:rsidRPr="005E7F3E">
        <w:t>Apply spill kit</w:t>
      </w:r>
      <w:r w:rsidR="004A1A39">
        <w:t xml:space="preserve"> as per the instruction contained in the kit</w:t>
      </w:r>
    </w:p>
    <w:p w14:paraId="61821B1E" w14:textId="77777777" w:rsidR="005E7F3E" w:rsidRPr="005E7F3E" w:rsidRDefault="00E9069F" w:rsidP="004A1A39">
      <w:pPr>
        <w:pStyle w:val="Bullet1"/>
        <w:ind w:left="851" w:hanging="284"/>
      </w:pPr>
      <w:r w:rsidRPr="005E7F3E">
        <w:t xml:space="preserve">If appropriate dilute </w:t>
      </w:r>
      <w:r w:rsidR="004A1A39">
        <w:t xml:space="preserve">residue </w:t>
      </w:r>
      <w:r w:rsidRPr="005E7F3E">
        <w:t>and wash down with water</w:t>
      </w:r>
    </w:p>
    <w:p w14:paraId="61821B1F" w14:textId="5AB9C62F" w:rsidR="00B65A70" w:rsidRPr="005E7F3E" w:rsidRDefault="00E9069F" w:rsidP="004A1A39">
      <w:pPr>
        <w:pStyle w:val="Bullet1"/>
        <w:ind w:left="851" w:hanging="284"/>
      </w:pPr>
      <w:r w:rsidRPr="005E7F3E">
        <w:t xml:space="preserve">If </w:t>
      </w:r>
      <w:r w:rsidR="004A1A39">
        <w:t>the</w:t>
      </w:r>
      <w:r w:rsidRPr="005E7F3E">
        <w:t xml:space="preserve"> spill is on the floor or </w:t>
      </w:r>
      <w:proofErr w:type="gramStart"/>
      <w:r w:rsidRPr="005E7F3E">
        <w:t>walkway</w:t>
      </w:r>
      <w:proofErr w:type="gramEnd"/>
      <w:r w:rsidRPr="005E7F3E">
        <w:t xml:space="preserve"> ensure appropriate signage is in place informing people to be aware of potentially slippery surfaces</w:t>
      </w:r>
      <w:r w:rsidR="004A1A39">
        <w:t>.</w:t>
      </w:r>
    </w:p>
    <w:p w14:paraId="61821B20" w14:textId="77777777" w:rsidR="00490BBC" w:rsidRDefault="00E9069F" w:rsidP="00D62420">
      <w:pPr>
        <w:pStyle w:val="ListParagraph"/>
        <w:numPr>
          <w:ilvl w:val="1"/>
          <w:numId w:val="8"/>
        </w:numPr>
        <w:spacing w:before="120"/>
        <w:ind w:left="567" w:hanging="567"/>
        <w:contextualSpacing w:val="0"/>
      </w:pPr>
      <w:r w:rsidRPr="005E7F3E">
        <w:t>Appropriately dispose of waste material</w:t>
      </w:r>
      <w:r w:rsidR="00746777">
        <w:t xml:space="preserve"> and used spill kits items as chemical waste.</w:t>
      </w:r>
    </w:p>
    <w:p w14:paraId="61821B21" w14:textId="77777777" w:rsidR="004A1A39" w:rsidRPr="005E7F3E" w:rsidRDefault="004A1A39" w:rsidP="003A782C">
      <w:pPr>
        <w:pStyle w:val="ListParagraph"/>
        <w:spacing w:before="120"/>
        <w:ind w:left="567"/>
        <w:contextualSpacing w:val="0"/>
      </w:pPr>
    </w:p>
    <w:p w14:paraId="61821B22" w14:textId="77777777" w:rsidR="001C639F" w:rsidRPr="005E7F3E" w:rsidRDefault="00E9069F" w:rsidP="005E44A4">
      <w:pPr>
        <w:pStyle w:val="Heading2"/>
      </w:pPr>
      <w:bookmarkStart w:id="188" w:name="_Toc19005560"/>
      <w:bookmarkStart w:id="189" w:name="_Toc101439001"/>
      <w:r>
        <w:t xml:space="preserve">13.5   </w:t>
      </w:r>
      <w:r w:rsidRPr="005E7F3E">
        <w:t>Chemical incidents and spill reporting</w:t>
      </w:r>
      <w:bookmarkEnd w:id="188"/>
      <w:bookmarkEnd w:id="189"/>
    </w:p>
    <w:p w14:paraId="61821B24" w14:textId="02753AD4" w:rsidR="001C639F" w:rsidRPr="005E7F3E" w:rsidRDefault="00E9069F" w:rsidP="001C639F">
      <w:r w:rsidRPr="005E7F3E">
        <w:t>All incidents and spills involving hazardous substances must be reported</w:t>
      </w:r>
      <w:r w:rsidR="00D245B0">
        <w:t xml:space="preserve"> on the online reporting system</w:t>
      </w:r>
      <w:r w:rsidR="00746777">
        <w:t xml:space="preserve"> C.H.A.R.M</w:t>
      </w:r>
      <w:r w:rsidR="00D245B0">
        <w:t>.</w:t>
      </w:r>
      <w:r w:rsidRPr="005E7F3E">
        <w:t xml:space="preserve"> Investigation of these incidents </w:t>
      </w:r>
      <w:r w:rsidR="005769B0">
        <w:t xml:space="preserve">and notification of external authorities </w:t>
      </w:r>
      <w:r w:rsidRPr="005E7F3E">
        <w:t xml:space="preserve">will occur in line with the Curtin University </w:t>
      </w:r>
      <w:hyperlink r:id="rId56" w:tgtFrame="_blank" w:history="1">
        <w:r w:rsidR="00424B71">
          <w:rPr>
            <w:rStyle w:val="Hyperlink"/>
            <w:rFonts w:cs="Arial"/>
            <w:color w:val="334E87"/>
            <w:sz w:val="21"/>
            <w:szCs w:val="21"/>
            <w:bdr w:val="none" w:sz="0" w:space="0" w:color="auto" w:frame="1"/>
          </w:rPr>
          <w:t>Incident and Hazard Reporting and Investigation Procedures</w:t>
        </w:r>
      </w:hyperlink>
      <w:r w:rsidRPr="005E7F3E">
        <w:t>.</w:t>
      </w:r>
    </w:p>
    <w:p w14:paraId="61821B25" w14:textId="0EB849E0" w:rsidR="00DA7A13" w:rsidRPr="002856C3" w:rsidRDefault="00E9069F" w:rsidP="00D62420">
      <w:pPr>
        <w:pStyle w:val="Heading1"/>
        <w:numPr>
          <w:ilvl w:val="0"/>
          <w:numId w:val="12"/>
        </w:numPr>
        <w:tabs>
          <w:tab w:val="clear" w:pos="851"/>
          <w:tab w:val="left" w:pos="426"/>
        </w:tabs>
        <w:ind w:left="0" w:firstLine="0"/>
      </w:pPr>
      <w:bookmarkStart w:id="190" w:name="_Toc19005561"/>
      <w:bookmarkStart w:id="191" w:name="_Toc101439002"/>
      <w:r w:rsidRPr="002856C3">
        <w:t xml:space="preserve">Emergency </w:t>
      </w:r>
      <w:r w:rsidR="00746777">
        <w:t>Management</w:t>
      </w:r>
      <w:bookmarkEnd w:id="190"/>
      <w:bookmarkEnd w:id="191"/>
    </w:p>
    <w:p w14:paraId="61821B26" w14:textId="77777777" w:rsidR="00746777" w:rsidRDefault="00E9069F" w:rsidP="005E44A4">
      <w:pPr>
        <w:pStyle w:val="Heading2"/>
      </w:pPr>
      <w:bookmarkStart w:id="192" w:name="_Toc19005562"/>
      <w:bookmarkStart w:id="193" w:name="_Toc101439003"/>
      <w:r>
        <w:t>14.1</w:t>
      </w:r>
      <w:r w:rsidR="0071613F">
        <w:t xml:space="preserve">  </w:t>
      </w:r>
      <w:r>
        <w:t xml:space="preserve"> Emergency Re</w:t>
      </w:r>
      <w:r w:rsidR="00547576">
        <w:t>s</w:t>
      </w:r>
      <w:r>
        <w:t>ponse</w:t>
      </w:r>
      <w:bookmarkEnd w:id="192"/>
      <w:bookmarkEnd w:id="193"/>
    </w:p>
    <w:p w14:paraId="61821B27" w14:textId="77777777" w:rsidR="00630173" w:rsidRPr="003A782C" w:rsidRDefault="00E9069F" w:rsidP="003A782C">
      <w:pPr>
        <w:rPr>
          <w:rFonts w:eastAsia="Times" w:cs="Arial"/>
          <w:b/>
          <w:bCs/>
          <w:i/>
          <w:iCs/>
          <w:color w:val="FF0000"/>
          <w:sz w:val="22"/>
          <w:szCs w:val="22"/>
        </w:rPr>
      </w:pPr>
      <w:r w:rsidRPr="003A782C">
        <w:rPr>
          <w:rFonts w:eastAsia="Times" w:cs="Arial"/>
          <w:b/>
          <w:bCs/>
          <w:i/>
          <w:iCs/>
          <w:color w:val="FF0000"/>
          <w:sz w:val="22"/>
          <w:szCs w:val="22"/>
        </w:rPr>
        <w:t xml:space="preserve">For life </w:t>
      </w:r>
      <w:r w:rsidRPr="003A782C">
        <w:rPr>
          <w:rFonts w:cs="Arial"/>
          <w:b/>
          <w:i/>
          <w:color w:val="FF0000"/>
          <w:sz w:val="22"/>
          <w:szCs w:val="22"/>
        </w:rPr>
        <w:t>threatening</w:t>
      </w:r>
      <w:r w:rsidRPr="003A782C">
        <w:rPr>
          <w:rFonts w:eastAsia="Times" w:cs="Arial"/>
          <w:b/>
          <w:bCs/>
          <w:i/>
          <w:iCs/>
          <w:color w:val="FF0000"/>
          <w:sz w:val="22"/>
          <w:szCs w:val="22"/>
        </w:rPr>
        <w:t xml:space="preserve"> emergencies call (0) 000. </w:t>
      </w:r>
    </w:p>
    <w:p w14:paraId="61821B28" w14:textId="77777777" w:rsidR="00630173" w:rsidRPr="003A782C" w:rsidRDefault="00630173" w:rsidP="00630173">
      <w:pPr>
        <w:keepLines w:val="0"/>
        <w:autoSpaceDE w:val="0"/>
        <w:autoSpaceDN w:val="0"/>
        <w:adjustRightInd w:val="0"/>
        <w:spacing w:before="0"/>
        <w:jc w:val="left"/>
        <w:rPr>
          <w:rFonts w:eastAsia="Times" w:cs="Arial"/>
          <w:color w:val="FF0000"/>
          <w:sz w:val="22"/>
          <w:szCs w:val="22"/>
        </w:rPr>
      </w:pPr>
    </w:p>
    <w:p w14:paraId="61821B29" w14:textId="77777777" w:rsidR="00630173" w:rsidRPr="003A782C" w:rsidRDefault="00E9069F" w:rsidP="00630173">
      <w:pPr>
        <w:keepLines w:val="0"/>
        <w:autoSpaceDE w:val="0"/>
        <w:autoSpaceDN w:val="0"/>
        <w:adjustRightInd w:val="0"/>
        <w:spacing w:before="0"/>
        <w:jc w:val="left"/>
        <w:rPr>
          <w:rFonts w:eastAsia="Times" w:cs="Arial"/>
        </w:rPr>
      </w:pPr>
      <w:r w:rsidRPr="003A782C">
        <w:rPr>
          <w:rFonts w:eastAsia="Times" w:cs="Arial"/>
          <w:b/>
          <w:bCs/>
          <w:i/>
          <w:iCs/>
          <w:color w:val="FF0000"/>
          <w:sz w:val="22"/>
          <w:szCs w:val="22"/>
        </w:rPr>
        <w:t xml:space="preserve">If an incident requires an emergency response, call the Curtin Safer Community Team on 4444 who will assess the situation and escalate to the Emergency Management Team where appropriate. </w:t>
      </w:r>
    </w:p>
    <w:p w14:paraId="61821B2C" w14:textId="77777777" w:rsidR="00267C0B" w:rsidRPr="003A782C" w:rsidRDefault="00267C0B" w:rsidP="008F3B81">
      <w:pPr>
        <w:rPr>
          <w:lang w:eastAsia="en-US"/>
        </w:rPr>
      </w:pPr>
    </w:p>
    <w:p w14:paraId="61821B2E" w14:textId="0F90680E" w:rsidR="00D245B0" w:rsidRPr="002856C3" w:rsidRDefault="00E9069F" w:rsidP="005E44A4">
      <w:pPr>
        <w:pStyle w:val="Heading2"/>
      </w:pPr>
      <w:bookmarkStart w:id="194" w:name="_Toc19005563"/>
      <w:bookmarkStart w:id="195" w:name="_Toc101439004"/>
      <w:r>
        <w:t>14.2</w:t>
      </w:r>
      <w:r w:rsidR="00267C0B">
        <w:t xml:space="preserve">   </w:t>
      </w:r>
      <w:r w:rsidRPr="002856C3">
        <w:t xml:space="preserve">Emergency </w:t>
      </w:r>
      <w:r>
        <w:t>Procedures</w:t>
      </w:r>
      <w:bookmarkEnd w:id="194"/>
      <w:bookmarkEnd w:id="195"/>
    </w:p>
    <w:p w14:paraId="61821B2F" w14:textId="77777777" w:rsidR="00630173" w:rsidRPr="003A782C" w:rsidRDefault="00E9069F" w:rsidP="003A782C">
      <w:r w:rsidRPr="003A782C">
        <w:t xml:space="preserve">Emergency procedures must be prepared in accordance with the </w:t>
      </w:r>
      <w:hyperlink r:id="rId57" w:history="1">
        <w:r w:rsidRPr="003A782C">
          <w:rPr>
            <w:rStyle w:val="Hyperlink"/>
          </w:rPr>
          <w:t>Curtin Emergency Management Plan</w:t>
        </w:r>
      </w:hyperlink>
      <w:r w:rsidRPr="003A782C">
        <w:t xml:space="preserve">, which incorporates AS 3745-2010 Planning for Emergencies in Facilities. </w:t>
      </w:r>
    </w:p>
    <w:p w14:paraId="61821B30" w14:textId="77777777" w:rsidR="00630173" w:rsidRPr="003A782C" w:rsidRDefault="00E9069F" w:rsidP="003A782C">
      <w:r w:rsidRPr="003A782C">
        <w:lastRenderedPageBreak/>
        <w:t xml:space="preserve">For general emergency planning and response enquiries, contact Emergency Management on 9910 or emergency_management@curtin.edu.au. </w:t>
      </w:r>
    </w:p>
    <w:p w14:paraId="61821B31" w14:textId="5A7FD25F" w:rsidR="00267C0B" w:rsidRPr="002856C3" w:rsidRDefault="00E9069F" w:rsidP="00267C0B">
      <w:pPr>
        <w:pStyle w:val="Heading3"/>
      </w:pPr>
      <w:bookmarkStart w:id="196" w:name="_Toc19005564"/>
      <w:r>
        <w:t xml:space="preserve">14.2.1   </w:t>
      </w:r>
      <w:r w:rsidRPr="002856C3">
        <w:t>Risk Assessment</w:t>
      </w:r>
      <w:r>
        <w:t xml:space="preserve"> for Emergency Planning</w:t>
      </w:r>
      <w:bookmarkEnd w:id="196"/>
    </w:p>
    <w:p w14:paraId="61821B32" w14:textId="77777777" w:rsidR="00267C0B" w:rsidRPr="002856C3" w:rsidRDefault="00E9069F" w:rsidP="00267C0B">
      <w:r>
        <w:t>Risk Assessment for emergency planning s</w:t>
      </w:r>
      <w:r w:rsidRPr="002856C3">
        <w:t xml:space="preserve">hould determine and include: </w:t>
      </w:r>
    </w:p>
    <w:p w14:paraId="61821B33" w14:textId="77777777" w:rsidR="00267C0B" w:rsidRPr="002856C3" w:rsidRDefault="00E9069F" w:rsidP="00267C0B">
      <w:pPr>
        <w:pStyle w:val="Bullet1"/>
      </w:pPr>
      <w:r w:rsidRPr="002856C3">
        <w:t>general first aid requirements and appropriately trained first aiders (including their location and contact details</w:t>
      </w:r>
      <w:proofErr w:type="gramStart"/>
      <w:r w:rsidRPr="002856C3">
        <w:t>);</w:t>
      </w:r>
      <w:proofErr w:type="gramEnd"/>
      <w:r w:rsidRPr="002856C3">
        <w:t xml:space="preserve"> </w:t>
      </w:r>
    </w:p>
    <w:p w14:paraId="61821B34" w14:textId="77777777" w:rsidR="00267C0B" w:rsidRPr="002856C3" w:rsidRDefault="00E9069F" w:rsidP="00267C0B">
      <w:pPr>
        <w:pStyle w:val="Bullet1"/>
      </w:pPr>
      <w:r w:rsidRPr="002856C3">
        <w:t xml:space="preserve">location and access to emergency showers and emergency eyewash </w:t>
      </w:r>
      <w:proofErr w:type="gramStart"/>
      <w:r w:rsidRPr="002856C3">
        <w:t>stations;</w:t>
      </w:r>
      <w:proofErr w:type="gramEnd"/>
      <w:r w:rsidRPr="002856C3">
        <w:t xml:space="preserve"> </w:t>
      </w:r>
    </w:p>
    <w:p w14:paraId="61821B35" w14:textId="77777777" w:rsidR="00267C0B" w:rsidRPr="002856C3" w:rsidRDefault="00E9069F" w:rsidP="00267C0B">
      <w:pPr>
        <w:pStyle w:val="Bullet1"/>
      </w:pPr>
      <w:r w:rsidRPr="002856C3">
        <w:t>specific first aid requirements that may be required for some chemicals (</w:t>
      </w:r>
      <w:proofErr w:type="spellStart"/>
      <w:proofErr w:type="gramStart"/>
      <w:r w:rsidRPr="002856C3">
        <w:t>eg</w:t>
      </w:r>
      <w:proofErr w:type="spellEnd"/>
      <w:proofErr w:type="gramEnd"/>
      <w:r w:rsidRPr="002856C3">
        <w:t xml:space="preserve"> cyanide requires administration of oxygen, HF contact with skin requires application of calcium gluconate); </w:t>
      </w:r>
    </w:p>
    <w:p w14:paraId="61821B36" w14:textId="77777777" w:rsidR="00267C0B" w:rsidRPr="002856C3" w:rsidRDefault="00E9069F" w:rsidP="00267C0B">
      <w:pPr>
        <w:pStyle w:val="Bullet1"/>
      </w:pPr>
      <w:r w:rsidRPr="002856C3">
        <w:t xml:space="preserve">spill kits appropriate for the physical properties of the </w:t>
      </w:r>
      <w:proofErr w:type="gramStart"/>
      <w:r w:rsidRPr="002856C3">
        <w:t>chemical;</w:t>
      </w:r>
      <w:proofErr w:type="gramEnd"/>
    </w:p>
    <w:p w14:paraId="61821B37" w14:textId="77777777" w:rsidR="00267C0B" w:rsidRPr="002856C3" w:rsidRDefault="00E9069F" w:rsidP="00267C0B">
      <w:pPr>
        <w:pStyle w:val="Bullet1"/>
      </w:pPr>
      <w:r w:rsidRPr="002856C3">
        <w:t>additional equipment to mitigate or reduce environmental impact (spills should be contained wherever possible, and floor drains and sinks should be isolated</w:t>
      </w:r>
      <w:proofErr w:type="gramStart"/>
      <w:r w:rsidRPr="002856C3">
        <w:t>);</w:t>
      </w:r>
      <w:proofErr w:type="gramEnd"/>
      <w:r w:rsidRPr="002856C3">
        <w:t xml:space="preserve"> </w:t>
      </w:r>
    </w:p>
    <w:p w14:paraId="61821B38" w14:textId="77777777" w:rsidR="00267C0B" w:rsidRPr="002856C3" w:rsidRDefault="00E9069F" w:rsidP="00267C0B">
      <w:pPr>
        <w:pStyle w:val="Bullet1"/>
      </w:pPr>
      <w:proofErr w:type="spellStart"/>
      <w:r w:rsidRPr="002856C3">
        <w:t>fire fighting</w:t>
      </w:r>
      <w:proofErr w:type="spellEnd"/>
      <w:r w:rsidRPr="002856C3">
        <w:t xml:space="preserve"> medium appropriate for the physical properties of the </w:t>
      </w:r>
      <w:proofErr w:type="gramStart"/>
      <w:r w:rsidRPr="002856C3">
        <w:t>chemical;</w:t>
      </w:r>
      <w:proofErr w:type="gramEnd"/>
      <w:r w:rsidRPr="002856C3">
        <w:t xml:space="preserve"> </w:t>
      </w:r>
    </w:p>
    <w:p w14:paraId="61821B39" w14:textId="77777777" w:rsidR="00267C0B" w:rsidRPr="002856C3" w:rsidRDefault="00E9069F" w:rsidP="00267C0B">
      <w:pPr>
        <w:pStyle w:val="Bullet1"/>
      </w:pPr>
      <w:r w:rsidRPr="002856C3">
        <w:t xml:space="preserve">consideration of the need for environmental monitoring devices. </w:t>
      </w:r>
    </w:p>
    <w:p w14:paraId="61821B3A" w14:textId="77777777" w:rsidR="00267C0B" w:rsidRPr="002856C3" w:rsidRDefault="00E9069F" w:rsidP="00267C0B">
      <w:pPr>
        <w:pStyle w:val="Bullet1"/>
      </w:pPr>
      <w:r w:rsidRPr="002856C3">
        <w:t xml:space="preserve">consideration of the need for </w:t>
      </w:r>
      <w:proofErr w:type="spellStart"/>
      <w:r w:rsidRPr="002856C3">
        <w:t>Self Contained</w:t>
      </w:r>
      <w:proofErr w:type="spellEnd"/>
      <w:r w:rsidRPr="002856C3">
        <w:t xml:space="preserve"> Breathing Apparatus; and </w:t>
      </w:r>
    </w:p>
    <w:p w14:paraId="61821B3B" w14:textId="77777777" w:rsidR="00267C0B" w:rsidRPr="002856C3" w:rsidRDefault="00E9069F" w:rsidP="00267C0B">
      <w:pPr>
        <w:pStyle w:val="Bullet1"/>
      </w:pPr>
      <w:r w:rsidRPr="002856C3">
        <w:t xml:space="preserve">consideration of the need for environmental monitoring devices. </w:t>
      </w:r>
    </w:p>
    <w:p w14:paraId="61821B3C" w14:textId="77777777" w:rsidR="00267C0B" w:rsidRPr="002856C3" w:rsidRDefault="00E9069F" w:rsidP="00267C0B">
      <w:pPr>
        <w:pStyle w:val="Bullet1"/>
      </w:pPr>
      <w:r w:rsidRPr="002856C3">
        <w:t xml:space="preserve">the management </w:t>
      </w:r>
      <w:proofErr w:type="gramStart"/>
      <w:r w:rsidRPr="002856C3">
        <w:t>of  spills</w:t>
      </w:r>
      <w:proofErr w:type="gramEnd"/>
      <w:r w:rsidRPr="002856C3">
        <w:t xml:space="preserve"> and leaks;</w:t>
      </w:r>
    </w:p>
    <w:p w14:paraId="61821B3D" w14:textId="77777777" w:rsidR="00267C0B" w:rsidRPr="002856C3" w:rsidRDefault="00E9069F" w:rsidP="00267C0B">
      <w:pPr>
        <w:pStyle w:val="Bullet1"/>
      </w:pPr>
      <w:r w:rsidRPr="002856C3">
        <w:t xml:space="preserve">shutdown </w:t>
      </w:r>
      <w:proofErr w:type="gramStart"/>
      <w:r w:rsidRPr="002856C3">
        <w:t>procedures;</w:t>
      </w:r>
      <w:proofErr w:type="gramEnd"/>
    </w:p>
    <w:p w14:paraId="61821B3E" w14:textId="77777777" w:rsidR="00267C0B" w:rsidRPr="002856C3" w:rsidRDefault="00E9069F" w:rsidP="00267C0B">
      <w:pPr>
        <w:pStyle w:val="Bullet1"/>
      </w:pPr>
      <w:r w:rsidRPr="002856C3">
        <w:t xml:space="preserve">supporting Curtin University emergency </w:t>
      </w:r>
      <w:proofErr w:type="gramStart"/>
      <w:r w:rsidRPr="002856C3">
        <w:t>procedures;</w:t>
      </w:r>
      <w:proofErr w:type="gramEnd"/>
    </w:p>
    <w:p w14:paraId="61821B3F" w14:textId="77777777" w:rsidR="00267C0B" w:rsidRPr="002856C3" w:rsidRDefault="00E9069F" w:rsidP="00267C0B">
      <w:pPr>
        <w:pStyle w:val="Bullet1"/>
      </w:pPr>
      <w:r w:rsidRPr="002856C3">
        <w:t>the physical properties of chemicals (including fire and explosion potential, environmental damage and the likely health effects if exposure occurs</w:t>
      </w:r>
      <w:proofErr w:type="gramStart"/>
      <w:r>
        <w:t>)</w:t>
      </w:r>
      <w:r w:rsidRPr="002856C3">
        <w:t>;</w:t>
      </w:r>
      <w:proofErr w:type="gramEnd"/>
      <w:r w:rsidRPr="002856C3">
        <w:t xml:space="preserve">  </w:t>
      </w:r>
    </w:p>
    <w:p w14:paraId="61821B40" w14:textId="77777777" w:rsidR="00746777" w:rsidRDefault="00E9069F" w:rsidP="003A782C">
      <w:pPr>
        <w:pStyle w:val="Bullet1"/>
      </w:pPr>
      <w:r w:rsidRPr="002856C3">
        <w:t>additional equipment to mitigate or reduce environmental impact (spills should be contained wherever possible, and floor drains and sinks should be isolated</w:t>
      </w:r>
      <w:proofErr w:type="gramStart"/>
      <w:r w:rsidRPr="002856C3">
        <w:t>);</w:t>
      </w:r>
      <w:proofErr w:type="gramEnd"/>
    </w:p>
    <w:p w14:paraId="61821B41" w14:textId="77777777" w:rsidR="00267C0B" w:rsidRPr="002856C3" w:rsidRDefault="00E9069F" w:rsidP="00482A2A">
      <w:pPr>
        <w:pStyle w:val="Heading3"/>
      </w:pPr>
      <w:bookmarkStart w:id="197" w:name="_Toc19005565"/>
      <w:r>
        <w:t xml:space="preserve">14.2.2   </w:t>
      </w:r>
      <w:r w:rsidRPr="002856C3">
        <w:t xml:space="preserve">Local Area Emergency </w:t>
      </w:r>
      <w:r>
        <w:t>P</w:t>
      </w:r>
      <w:r w:rsidRPr="002856C3">
        <w:t>rocedures</w:t>
      </w:r>
      <w:bookmarkEnd w:id="197"/>
    </w:p>
    <w:p w14:paraId="61821B42" w14:textId="77777777" w:rsidR="00267C0B" w:rsidRDefault="00E9069F" w:rsidP="00267C0B">
      <w:r w:rsidRPr="002856C3">
        <w:t xml:space="preserve">The </w:t>
      </w:r>
      <w:r w:rsidR="00855DAB">
        <w:t>m</w:t>
      </w:r>
      <w:r w:rsidRPr="002856C3">
        <w:t>anager/</w:t>
      </w:r>
      <w:r w:rsidR="00855DAB">
        <w:t>s</w:t>
      </w:r>
      <w:r w:rsidRPr="002856C3">
        <w:t xml:space="preserve">upervisor of an area or laboratory must ensure that local emergency procedures are developed </w:t>
      </w:r>
      <w:r>
        <w:t xml:space="preserve">to guide response to chemical hazards particular to the area. </w:t>
      </w:r>
    </w:p>
    <w:p w14:paraId="61821B43" w14:textId="77777777" w:rsidR="00267C0B" w:rsidRPr="002856C3" w:rsidRDefault="00E9069F" w:rsidP="00267C0B">
      <w:r>
        <w:t xml:space="preserve">Up to date </w:t>
      </w:r>
      <w:r w:rsidRPr="002856C3">
        <w:t xml:space="preserve">chemical register </w:t>
      </w:r>
      <w:r>
        <w:t xml:space="preserve">information is vital in responding to chemical incidents, it is </w:t>
      </w:r>
      <w:r w:rsidRPr="002856C3">
        <w:t xml:space="preserve">the responsibility of </w:t>
      </w:r>
      <w:r>
        <w:t>each S</w:t>
      </w:r>
      <w:r w:rsidRPr="002856C3">
        <w:t>chools to update ChemAlert for the</w:t>
      </w:r>
      <w:r>
        <w:t xml:space="preserve">ir locations </w:t>
      </w:r>
      <w:r w:rsidRPr="002856C3">
        <w:t xml:space="preserve">when new chemicals are purchased, </w:t>
      </w:r>
      <w:proofErr w:type="gramStart"/>
      <w:r w:rsidRPr="002856C3">
        <w:t>used</w:t>
      </w:r>
      <w:proofErr w:type="gramEnd"/>
      <w:r w:rsidRPr="002856C3">
        <w:t xml:space="preserve"> or disposed.</w:t>
      </w:r>
    </w:p>
    <w:p w14:paraId="61821B44" w14:textId="77777777" w:rsidR="00267C0B" w:rsidRPr="002856C3" w:rsidRDefault="00E9069F" w:rsidP="00267C0B">
      <w:r w:rsidRPr="002856C3">
        <w:t xml:space="preserve">The local area emergency procedures should be </w:t>
      </w:r>
      <w:r>
        <w:t xml:space="preserve">documented </w:t>
      </w:r>
      <w:r w:rsidRPr="002856C3">
        <w:t xml:space="preserve">prior to </w:t>
      </w:r>
      <w:r>
        <w:t xml:space="preserve">the commencement of a </w:t>
      </w:r>
      <w:r w:rsidRPr="002856C3">
        <w:t>process</w:t>
      </w:r>
      <w:r>
        <w:t xml:space="preserve">, these procedures should </w:t>
      </w:r>
      <w:proofErr w:type="gramStart"/>
      <w:r w:rsidRPr="002856C3">
        <w:t>take into account</w:t>
      </w:r>
      <w:proofErr w:type="gramEnd"/>
      <w:r>
        <w:t xml:space="preserve"> the outcomes of a risk assessment</w:t>
      </w:r>
      <w:r w:rsidRPr="002856C3">
        <w:t xml:space="preserve">: </w:t>
      </w:r>
    </w:p>
    <w:p w14:paraId="61821B45" w14:textId="77777777" w:rsidR="00267C0B" w:rsidRPr="002856C3" w:rsidRDefault="00E9069F" w:rsidP="00267C0B">
      <w:pPr>
        <w:pStyle w:val="Bullet1"/>
      </w:pPr>
      <w:r w:rsidRPr="002856C3">
        <w:t>the physical properties of the chemical</w:t>
      </w:r>
      <w:r>
        <w:t>/s</w:t>
      </w:r>
      <w:r w:rsidRPr="002856C3">
        <w:t xml:space="preserve"> </w:t>
      </w:r>
      <w:proofErr w:type="gramStart"/>
      <w:r w:rsidRPr="002856C3">
        <w:t>including</w:t>
      </w:r>
      <w:r>
        <w:t>:</w:t>
      </w:r>
      <w:proofErr w:type="gramEnd"/>
      <w:r w:rsidRPr="002856C3">
        <w:t xml:space="preserve"> fire and explosion, environmental damage and the likely health </w:t>
      </w:r>
      <w:r>
        <w:t>impacts.</w:t>
      </w:r>
      <w:r w:rsidRPr="002856C3">
        <w:t xml:space="preserve"> </w:t>
      </w:r>
      <w:r>
        <w:t>T</w:t>
      </w:r>
      <w:r w:rsidRPr="002856C3">
        <w:t>his information will be provided on the SDS</w:t>
      </w:r>
      <w:r>
        <w:t>.</w:t>
      </w:r>
    </w:p>
    <w:p w14:paraId="61821B46" w14:textId="77777777" w:rsidR="00267C0B" w:rsidRPr="002856C3" w:rsidRDefault="00E9069F" w:rsidP="00267C0B">
      <w:pPr>
        <w:pStyle w:val="Bullet1"/>
      </w:pPr>
      <w:r w:rsidRPr="002856C3">
        <w:t xml:space="preserve">the full </w:t>
      </w:r>
      <w:proofErr w:type="gramStart"/>
      <w:r w:rsidRPr="002856C3">
        <w:t>life-cycle</w:t>
      </w:r>
      <w:proofErr w:type="gramEnd"/>
      <w:r w:rsidRPr="002856C3">
        <w:t xml:space="preserve"> and intended use of the chemical from delivery/receipt through to waste collection.</w:t>
      </w:r>
    </w:p>
    <w:p w14:paraId="61821B47" w14:textId="77777777" w:rsidR="00267C0B" w:rsidRDefault="00E9069F" w:rsidP="00267C0B">
      <w:pPr>
        <w:pStyle w:val="Bullet1"/>
      </w:pPr>
      <w:r>
        <w:t>equipment or infrastructure available in the area that will aid in the detection of or response to an incident</w:t>
      </w:r>
    </w:p>
    <w:p w14:paraId="61821B48" w14:textId="77777777" w:rsidR="00267C0B" w:rsidRPr="002856C3" w:rsidRDefault="00E9069F" w:rsidP="00267C0B">
      <w:pPr>
        <w:pStyle w:val="Bullet1"/>
      </w:pPr>
      <w:r w:rsidRPr="002856C3">
        <w:t xml:space="preserve">the </w:t>
      </w:r>
      <w:r>
        <w:t xml:space="preserve">safe </w:t>
      </w:r>
      <w:r w:rsidRPr="002856C3">
        <w:t xml:space="preserve">management of spills and </w:t>
      </w:r>
      <w:proofErr w:type="gramStart"/>
      <w:r w:rsidRPr="002856C3">
        <w:t>leaks;</w:t>
      </w:r>
      <w:proofErr w:type="gramEnd"/>
    </w:p>
    <w:p w14:paraId="61821B49" w14:textId="77777777" w:rsidR="00267C0B" w:rsidRPr="002D2118" w:rsidRDefault="00E9069F" w:rsidP="00267C0B">
      <w:pPr>
        <w:pStyle w:val="Bullet1"/>
      </w:pPr>
      <w:r>
        <w:lastRenderedPageBreak/>
        <w:t xml:space="preserve">reference to any </w:t>
      </w:r>
      <w:r w:rsidRPr="002D2118">
        <w:t>supporting Curtin University emergency management plan</w:t>
      </w:r>
      <w:r w:rsidR="007C120B">
        <w:t>s</w:t>
      </w:r>
      <w:r w:rsidRPr="002D2118">
        <w:t xml:space="preserve"> and associated procedures.</w:t>
      </w:r>
    </w:p>
    <w:p w14:paraId="61821B55" w14:textId="01FC9A4F" w:rsidR="00DA7A13" w:rsidRPr="002856C3" w:rsidRDefault="00E9069F" w:rsidP="005E44A4">
      <w:pPr>
        <w:pStyle w:val="Heading2"/>
      </w:pPr>
      <w:bookmarkStart w:id="198" w:name="_Toc19005567"/>
      <w:bookmarkStart w:id="199" w:name="_Toc101439006"/>
      <w:r>
        <w:t>14.</w:t>
      </w:r>
      <w:r w:rsidR="00D13FAA">
        <w:t>3</w:t>
      </w:r>
      <w:r>
        <w:t xml:space="preserve">   </w:t>
      </w:r>
      <w:r w:rsidRPr="002856C3">
        <w:t xml:space="preserve">Dangerous Goods Manifest </w:t>
      </w:r>
      <w:r w:rsidR="00396230">
        <w:t>and Site Plans</w:t>
      </w:r>
      <w:bookmarkEnd w:id="198"/>
      <w:bookmarkEnd w:id="199"/>
    </w:p>
    <w:p w14:paraId="61821B56" w14:textId="340D8B3A" w:rsidR="00DA7A13" w:rsidRPr="002856C3" w:rsidRDefault="00E9069F" w:rsidP="00DA7A13">
      <w:r>
        <w:t>Sites holding a Dangerous Goods License will keep a copy of the M</w:t>
      </w:r>
      <w:r w:rsidRPr="002856C3">
        <w:t xml:space="preserve">anifest </w:t>
      </w:r>
      <w:r>
        <w:t xml:space="preserve">and Site Plan at the </w:t>
      </w:r>
      <w:r w:rsidR="00E64A14" w:rsidRPr="00E64A14">
        <w:t>Fire Indicator Panel</w:t>
      </w:r>
      <w:r w:rsidR="00F25F4F">
        <w:t xml:space="preserve"> (FIP)</w:t>
      </w:r>
      <w:r>
        <w:t>.</w:t>
      </w:r>
      <w:r w:rsidRPr="002856C3">
        <w:t xml:space="preserve"> </w:t>
      </w:r>
      <w:r w:rsidR="0096418D">
        <w:t xml:space="preserve">A </w:t>
      </w:r>
      <w:r w:rsidR="00F25F4F">
        <w:t xml:space="preserve">backup </w:t>
      </w:r>
      <w:r w:rsidR="0096418D">
        <w:t>copy of t</w:t>
      </w:r>
      <w:r w:rsidRPr="002856C3">
        <w:t xml:space="preserve">he Dangerous Goods Manifest </w:t>
      </w:r>
      <w:r>
        <w:t xml:space="preserve">and Site Plans will also </w:t>
      </w:r>
      <w:proofErr w:type="gramStart"/>
      <w:r w:rsidRPr="002856C3">
        <w:t>be located in</w:t>
      </w:r>
      <w:proofErr w:type="gramEnd"/>
      <w:r w:rsidRPr="002856C3">
        <w:t xml:space="preserve"> the </w:t>
      </w:r>
      <w:r w:rsidR="00255765">
        <w:t>Curtin Safer Communities</w:t>
      </w:r>
      <w:r w:rsidRPr="002856C3">
        <w:t xml:space="preserve"> Control Room.</w:t>
      </w:r>
    </w:p>
    <w:p w14:paraId="61821B57" w14:textId="77777777" w:rsidR="00DA7A13" w:rsidRPr="002856C3" w:rsidRDefault="00E9069F" w:rsidP="00DA7A13">
      <w:r w:rsidRPr="002856C3">
        <w:t>The manifest is revised and updated when:</w:t>
      </w:r>
    </w:p>
    <w:p w14:paraId="61821B58" w14:textId="77777777" w:rsidR="00DA7A13" w:rsidRPr="002856C3" w:rsidRDefault="00E9069F" w:rsidP="002D2118">
      <w:pPr>
        <w:pStyle w:val="Bullet1"/>
      </w:pPr>
      <w:r w:rsidRPr="002856C3">
        <w:t>There is a change in any of the information.</w:t>
      </w:r>
    </w:p>
    <w:p w14:paraId="61821B59" w14:textId="77777777" w:rsidR="00DA7A13" w:rsidRPr="002856C3" w:rsidRDefault="00E9069F" w:rsidP="00391E62">
      <w:pPr>
        <w:pStyle w:val="Bullet1"/>
      </w:pPr>
      <w:r w:rsidRPr="002856C3">
        <w:t>There is a change in the relevant legislation.</w:t>
      </w:r>
      <w:r w:rsidRPr="002856C3">
        <w:tab/>
      </w:r>
    </w:p>
    <w:p w14:paraId="61821B69" w14:textId="7686DE75" w:rsidR="00DA7A13" w:rsidRPr="002856C3" w:rsidRDefault="00DA7A13" w:rsidP="003A782C">
      <w:pPr>
        <w:pStyle w:val="Bullet1"/>
        <w:numPr>
          <w:ilvl w:val="0"/>
          <w:numId w:val="0"/>
        </w:numPr>
        <w:ind w:left="644"/>
      </w:pPr>
    </w:p>
    <w:p w14:paraId="61821B6A" w14:textId="77777777" w:rsidR="005C3F89" w:rsidRPr="005C3F89" w:rsidRDefault="00E9069F" w:rsidP="00D62420">
      <w:pPr>
        <w:pStyle w:val="Heading1"/>
        <w:numPr>
          <w:ilvl w:val="0"/>
          <w:numId w:val="12"/>
        </w:numPr>
        <w:tabs>
          <w:tab w:val="clear" w:pos="851"/>
          <w:tab w:val="left" w:pos="426"/>
        </w:tabs>
        <w:ind w:left="0" w:firstLine="0"/>
      </w:pPr>
      <w:bookmarkStart w:id="200" w:name="_Toc19005568"/>
      <w:bookmarkStart w:id="201" w:name="_Toc101439007"/>
      <w:r w:rsidRPr="005C3F89">
        <w:t>Incident Reporting</w:t>
      </w:r>
      <w:bookmarkEnd w:id="200"/>
      <w:bookmarkEnd w:id="201"/>
    </w:p>
    <w:p w14:paraId="61821B73" w14:textId="77777777" w:rsidR="00DA7A13" w:rsidRPr="00784401" w:rsidRDefault="00E9069F" w:rsidP="005E44A4">
      <w:pPr>
        <w:pStyle w:val="Heading2"/>
      </w:pPr>
      <w:bookmarkStart w:id="202" w:name="_Toc18671809"/>
      <w:bookmarkStart w:id="203" w:name="_Toc18675052"/>
      <w:bookmarkStart w:id="204" w:name="_Toc18675243"/>
      <w:bookmarkStart w:id="205" w:name="_Toc18675752"/>
      <w:bookmarkStart w:id="206" w:name="_Toc18678511"/>
      <w:bookmarkStart w:id="207" w:name="_Toc18678702"/>
      <w:bookmarkStart w:id="208" w:name="_Toc18678915"/>
      <w:bookmarkStart w:id="209" w:name="_Toc18679106"/>
      <w:bookmarkStart w:id="210" w:name="_Toc18679471"/>
      <w:bookmarkStart w:id="211" w:name="_Toc18679663"/>
      <w:bookmarkStart w:id="212" w:name="_Toc18679854"/>
      <w:bookmarkStart w:id="213" w:name="_Toc18680045"/>
      <w:bookmarkStart w:id="214" w:name="_Toc18680235"/>
      <w:bookmarkStart w:id="215" w:name="_Toc18671810"/>
      <w:bookmarkStart w:id="216" w:name="_Toc18675053"/>
      <w:bookmarkStart w:id="217" w:name="_Toc18675244"/>
      <w:bookmarkStart w:id="218" w:name="_Toc18675753"/>
      <w:bookmarkStart w:id="219" w:name="_Toc18678512"/>
      <w:bookmarkStart w:id="220" w:name="_Toc18678703"/>
      <w:bookmarkStart w:id="221" w:name="_Toc18678916"/>
      <w:bookmarkStart w:id="222" w:name="_Toc18679107"/>
      <w:bookmarkStart w:id="223" w:name="_Toc18679472"/>
      <w:bookmarkStart w:id="224" w:name="_Toc18679664"/>
      <w:bookmarkStart w:id="225" w:name="_Toc18679855"/>
      <w:bookmarkStart w:id="226" w:name="_Toc18680046"/>
      <w:bookmarkStart w:id="227" w:name="_Toc18680236"/>
      <w:bookmarkStart w:id="228" w:name="_Toc18671811"/>
      <w:bookmarkStart w:id="229" w:name="_Toc18675054"/>
      <w:bookmarkStart w:id="230" w:name="_Toc18675245"/>
      <w:bookmarkStart w:id="231" w:name="_Toc18675754"/>
      <w:bookmarkStart w:id="232" w:name="_Toc18678513"/>
      <w:bookmarkStart w:id="233" w:name="_Toc18678704"/>
      <w:bookmarkStart w:id="234" w:name="_Toc18678917"/>
      <w:bookmarkStart w:id="235" w:name="_Toc18679108"/>
      <w:bookmarkStart w:id="236" w:name="_Toc18679473"/>
      <w:bookmarkStart w:id="237" w:name="_Toc18679665"/>
      <w:bookmarkStart w:id="238" w:name="_Toc18679856"/>
      <w:bookmarkStart w:id="239" w:name="_Toc18680047"/>
      <w:bookmarkStart w:id="240" w:name="_Toc18680237"/>
      <w:bookmarkStart w:id="241" w:name="_Toc18671812"/>
      <w:bookmarkStart w:id="242" w:name="_Toc18675055"/>
      <w:bookmarkStart w:id="243" w:name="_Toc18675246"/>
      <w:bookmarkStart w:id="244" w:name="_Toc18675755"/>
      <w:bookmarkStart w:id="245" w:name="_Toc18678514"/>
      <w:bookmarkStart w:id="246" w:name="_Toc18678705"/>
      <w:bookmarkStart w:id="247" w:name="_Toc18678918"/>
      <w:bookmarkStart w:id="248" w:name="_Toc18679109"/>
      <w:bookmarkStart w:id="249" w:name="_Toc18679474"/>
      <w:bookmarkStart w:id="250" w:name="_Toc18679666"/>
      <w:bookmarkStart w:id="251" w:name="_Toc18679857"/>
      <w:bookmarkStart w:id="252" w:name="_Toc18680048"/>
      <w:bookmarkStart w:id="253" w:name="_Toc18680238"/>
      <w:bookmarkStart w:id="254" w:name="_Toc18671813"/>
      <w:bookmarkStart w:id="255" w:name="_Toc18675056"/>
      <w:bookmarkStart w:id="256" w:name="_Toc18675247"/>
      <w:bookmarkStart w:id="257" w:name="_Toc18675756"/>
      <w:bookmarkStart w:id="258" w:name="_Toc18678515"/>
      <w:bookmarkStart w:id="259" w:name="_Toc18678706"/>
      <w:bookmarkStart w:id="260" w:name="_Toc18678919"/>
      <w:bookmarkStart w:id="261" w:name="_Toc18679110"/>
      <w:bookmarkStart w:id="262" w:name="_Toc18679475"/>
      <w:bookmarkStart w:id="263" w:name="_Toc18679667"/>
      <w:bookmarkStart w:id="264" w:name="_Toc18679858"/>
      <w:bookmarkStart w:id="265" w:name="_Toc18680049"/>
      <w:bookmarkStart w:id="266" w:name="_Toc18680239"/>
      <w:bookmarkStart w:id="267" w:name="_Toc18671814"/>
      <w:bookmarkStart w:id="268" w:name="_Toc18675057"/>
      <w:bookmarkStart w:id="269" w:name="_Toc18675248"/>
      <w:bookmarkStart w:id="270" w:name="_Toc18675757"/>
      <w:bookmarkStart w:id="271" w:name="_Toc18678516"/>
      <w:bookmarkStart w:id="272" w:name="_Toc18678707"/>
      <w:bookmarkStart w:id="273" w:name="_Toc18678920"/>
      <w:bookmarkStart w:id="274" w:name="_Toc18679111"/>
      <w:bookmarkStart w:id="275" w:name="_Toc18679476"/>
      <w:bookmarkStart w:id="276" w:name="_Toc18679668"/>
      <w:bookmarkStart w:id="277" w:name="_Toc18679859"/>
      <w:bookmarkStart w:id="278" w:name="_Toc18680050"/>
      <w:bookmarkStart w:id="279" w:name="_Toc18680240"/>
      <w:bookmarkStart w:id="280" w:name="_Toc18671815"/>
      <w:bookmarkStart w:id="281" w:name="_Toc18675058"/>
      <w:bookmarkStart w:id="282" w:name="_Toc18675249"/>
      <w:bookmarkStart w:id="283" w:name="_Toc18675758"/>
      <w:bookmarkStart w:id="284" w:name="_Toc18678517"/>
      <w:bookmarkStart w:id="285" w:name="_Toc18678708"/>
      <w:bookmarkStart w:id="286" w:name="_Toc18678921"/>
      <w:bookmarkStart w:id="287" w:name="_Toc18679112"/>
      <w:bookmarkStart w:id="288" w:name="_Toc18679477"/>
      <w:bookmarkStart w:id="289" w:name="_Toc18679669"/>
      <w:bookmarkStart w:id="290" w:name="_Toc18679860"/>
      <w:bookmarkStart w:id="291" w:name="_Toc18680051"/>
      <w:bookmarkStart w:id="292" w:name="_Toc18680241"/>
      <w:bookmarkStart w:id="293" w:name="_Toc19005569"/>
      <w:bookmarkStart w:id="294" w:name="_Toc101439008"/>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t xml:space="preserve">15.1   </w:t>
      </w:r>
      <w:r w:rsidR="00784401">
        <w:t>Loss/Theft or suspicious behaviour</w:t>
      </w:r>
      <w:bookmarkEnd w:id="293"/>
      <w:bookmarkEnd w:id="294"/>
    </w:p>
    <w:p w14:paraId="61821B74" w14:textId="77777777" w:rsidR="00784401" w:rsidRPr="00784401" w:rsidRDefault="00E9069F" w:rsidP="00784401">
      <w:r w:rsidRPr="00784401">
        <w:t xml:space="preserve">The university and some </w:t>
      </w:r>
      <w:r w:rsidR="008F3B81">
        <w:t xml:space="preserve">individual </w:t>
      </w:r>
      <w:r w:rsidRPr="00784401">
        <w:t xml:space="preserve">staff are empowered by licence or campus permit to possess certain drugs or other controlled substances. Some of these drugs and substances may be subject to misuse, diversion for illicit trafficking or conversion to other drugs for misuse. Workplaces are to ensure adequate arrangements are in place for security, storage, </w:t>
      </w:r>
      <w:proofErr w:type="gramStart"/>
      <w:r w:rsidRPr="00784401">
        <w:t>record-keeping</w:t>
      </w:r>
      <w:proofErr w:type="gramEnd"/>
      <w:r w:rsidRPr="00784401">
        <w:t xml:space="preserve"> and general control in accordance with the requirements of the permit conditions and relevant legislation. </w:t>
      </w:r>
    </w:p>
    <w:p w14:paraId="61821B75" w14:textId="77777777" w:rsidR="00DA7A13" w:rsidRPr="00784401" w:rsidRDefault="00E9069F" w:rsidP="00DA7A13">
      <w:r w:rsidRPr="00784401">
        <w:t>In addition to reporting any incidents involving chemicals (see section 14), all incidents in which there are reasonable grounds to suspect:</w:t>
      </w:r>
    </w:p>
    <w:p w14:paraId="61821B76" w14:textId="77777777" w:rsidR="00DA7A13" w:rsidRPr="00784401" w:rsidRDefault="00E9069F" w:rsidP="002D2118">
      <w:pPr>
        <w:pStyle w:val="Bullet1"/>
      </w:pPr>
      <w:r w:rsidRPr="00784401">
        <w:t xml:space="preserve">Theft: a theft or loss of a </w:t>
      </w:r>
      <w:r w:rsidR="00784401" w:rsidRPr="00784401">
        <w:t xml:space="preserve">chemical, </w:t>
      </w:r>
      <w:r w:rsidRPr="00784401">
        <w:t>drug, or prohibited substance</w:t>
      </w:r>
    </w:p>
    <w:p w14:paraId="61821B77" w14:textId="77777777" w:rsidR="00DA7A13" w:rsidRPr="00784401" w:rsidRDefault="00E9069F" w:rsidP="002D2118">
      <w:pPr>
        <w:pStyle w:val="Bullet1"/>
      </w:pPr>
      <w:r w:rsidRPr="00784401">
        <w:t xml:space="preserve">Unaccounted loss: a quantity of </w:t>
      </w:r>
      <w:r w:rsidR="00784401" w:rsidRPr="00784401">
        <w:t xml:space="preserve">chemicals, </w:t>
      </w:r>
      <w:r w:rsidRPr="00784401">
        <w:t>drugs or prohibited substances that cannot be reasonably accounted for, or</w:t>
      </w:r>
    </w:p>
    <w:p w14:paraId="61821B78" w14:textId="77777777" w:rsidR="00DA7A13" w:rsidRPr="00784401" w:rsidRDefault="00E9069F" w:rsidP="00391E62">
      <w:pPr>
        <w:pStyle w:val="Bullet1"/>
      </w:pPr>
      <w:r w:rsidRPr="00784401">
        <w:t xml:space="preserve">Suspicious behaviour: A staff member and/or contractor who has access to </w:t>
      </w:r>
      <w:r w:rsidR="00784401" w:rsidRPr="00784401">
        <w:t>chemicals,</w:t>
      </w:r>
      <w:r w:rsidRPr="00784401">
        <w:t xml:space="preserve"> drugs or prohibited substances exhibits such behaviour that you or others reasonably suspect that the person may be abusing or diverting drugs or </w:t>
      </w:r>
      <w:r w:rsidR="00784401" w:rsidRPr="00784401">
        <w:t xml:space="preserve">other chemical </w:t>
      </w:r>
      <w:r w:rsidRPr="00784401">
        <w:t>substances.</w:t>
      </w:r>
    </w:p>
    <w:p w14:paraId="61821B79" w14:textId="65B026A2" w:rsidR="00DA7A13" w:rsidRPr="00784401" w:rsidRDefault="00E9069F" w:rsidP="003A782C">
      <w:pPr>
        <w:pStyle w:val="Bullet1"/>
      </w:pPr>
      <w:r w:rsidRPr="00784401">
        <w:t xml:space="preserve">Must be reported to the Director </w:t>
      </w:r>
      <w:r w:rsidR="005B3B08">
        <w:t>Health and Safety</w:t>
      </w:r>
      <w:r w:rsidR="00DE7447">
        <w:t xml:space="preserve"> ext. </w:t>
      </w:r>
      <w:r w:rsidR="008F3B81">
        <w:t>4900.</w:t>
      </w:r>
    </w:p>
    <w:p w14:paraId="61821B7A" w14:textId="77777777" w:rsidR="00DA7A13" w:rsidRPr="00784401" w:rsidRDefault="00E9069F" w:rsidP="003A782C">
      <w:pPr>
        <w:pStyle w:val="Heading1"/>
        <w:numPr>
          <w:ilvl w:val="0"/>
          <w:numId w:val="0"/>
        </w:numPr>
        <w:tabs>
          <w:tab w:val="clear" w:pos="851"/>
          <w:tab w:val="left" w:pos="426"/>
        </w:tabs>
      </w:pPr>
      <w:bookmarkStart w:id="295" w:name="_Toc19005570"/>
      <w:bookmarkStart w:id="296" w:name="_Toc101439009"/>
      <w:r>
        <w:t>16.</w:t>
      </w:r>
      <w:r>
        <w:tab/>
      </w:r>
      <w:r w:rsidR="00784401" w:rsidRPr="00784401">
        <w:t>Records</w:t>
      </w:r>
      <w:bookmarkEnd w:id="295"/>
      <w:bookmarkEnd w:id="296"/>
    </w:p>
    <w:p w14:paraId="61821B7B" w14:textId="4D6EE327" w:rsidR="00B85A1F" w:rsidRDefault="008F3B81" w:rsidP="00B85A1F">
      <w:r>
        <w:t>T</w:t>
      </w:r>
      <w:r w:rsidR="00E9069F">
        <w:t>he following documents must be kept for the period specified.</w:t>
      </w:r>
    </w:p>
    <w:p w14:paraId="61821B7C" w14:textId="77777777" w:rsidR="00DA7A13" w:rsidRPr="00784401" w:rsidRDefault="00E9069F" w:rsidP="00D62420">
      <w:pPr>
        <w:pStyle w:val="ListParagraph"/>
        <w:numPr>
          <w:ilvl w:val="1"/>
          <w:numId w:val="9"/>
        </w:numPr>
        <w:spacing w:before="120"/>
        <w:ind w:left="567" w:hanging="567"/>
        <w:contextualSpacing w:val="0"/>
      </w:pPr>
      <w:r w:rsidRPr="00784401">
        <w:t>Risk assessments that identify a hazard or significant d</w:t>
      </w:r>
      <w:r w:rsidR="007E0A46" w:rsidRPr="00784401">
        <w:t xml:space="preserve">egree of risk to health are to </w:t>
      </w:r>
      <w:r w:rsidRPr="00784401">
        <w:t xml:space="preserve">be kept for 30 years. Monitoring results and health surveillance reports must also be kept for 30 </w:t>
      </w:r>
      <w:proofErr w:type="gramStart"/>
      <w:r w:rsidRPr="00784401">
        <w:t>years;</w:t>
      </w:r>
      <w:proofErr w:type="gramEnd"/>
    </w:p>
    <w:p w14:paraId="61821B7D" w14:textId="77777777" w:rsidR="00DA7A13" w:rsidRPr="00784401" w:rsidRDefault="00E9069F" w:rsidP="00D62420">
      <w:pPr>
        <w:pStyle w:val="ListParagraph"/>
        <w:numPr>
          <w:ilvl w:val="1"/>
          <w:numId w:val="9"/>
        </w:numPr>
        <w:spacing w:before="120"/>
        <w:ind w:left="567" w:hanging="567"/>
        <w:contextualSpacing w:val="0"/>
      </w:pPr>
      <w:r w:rsidRPr="00784401">
        <w:t xml:space="preserve">risk assessments identifying no hazards/significant degree of risk to health must be kept for 5 </w:t>
      </w:r>
      <w:proofErr w:type="gramStart"/>
      <w:r w:rsidRPr="00784401">
        <w:t>years;</w:t>
      </w:r>
      <w:proofErr w:type="gramEnd"/>
    </w:p>
    <w:p w14:paraId="61821B7E" w14:textId="77777777" w:rsidR="00DA7A13" w:rsidRPr="00784401" w:rsidRDefault="00E9069F" w:rsidP="00D62420">
      <w:pPr>
        <w:pStyle w:val="ListParagraph"/>
        <w:numPr>
          <w:ilvl w:val="1"/>
          <w:numId w:val="9"/>
        </w:numPr>
        <w:spacing w:before="120"/>
        <w:ind w:left="567" w:hanging="567"/>
        <w:contextualSpacing w:val="0"/>
      </w:pPr>
      <w:r w:rsidRPr="00784401">
        <w:t xml:space="preserve">training records are to be kept for at least 5 </w:t>
      </w:r>
      <w:proofErr w:type="gramStart"/>
      <w:r w:rsidRPr="00784401">
        <w:t>years;</w:t>
      </w:r>
      <w:proofErr w:type="gramEnd"/>
    </w:p>
    <w:p w14:paraId="61821B7F" w14:textId="77777777" w:rsidR="00DA7A13" w:rsidRPr="00DE7447" w:rsidRDefault="00E9069F" w:rsidP="00D62420">
      <w:pPr>
        <w:pStyle w:val="ListParagraph"/>
        <w:numPr>
          <w:ilvl w:val="1"/>
          <w:numId w:val="9"/>
        </w:numPr>
        <w:spacing w:before="120"/>
        <w:ind w:left="567" w:hanging="567"/>
        <w:contextualSpacing w:val="0"/>
      </w:pPr>
      <w:r w:rsidRPr="00DE7447">
        <w:t xml:space="preserve">tank inspection records are to be kept while the tank remains in </w:t>
      </w:r>
      <w:proofErr w:type="gramStart"/>
      <w:r w:rsidRPr="00DE7447">
        <w:t>service;</w:t>
      </w:r>
      <w:proofErr w:type="gramEnd"/>
    </w:p>
    <w:p w14:paraId="61821B80" w14:textId="77777777" w:rsidR="00DA7A13" w:rsidRPr="00784401" w:rsidRDefault="00E9069F" w:rsidP="00D62420">
      <w:pPr>
        <w:pStyle w:val="ListParagraph"/>
        <w:numPr>
          <w:ilvl w:val="1"/>
          <w:numId w:val="9"/>
        </w:numPr>
        <w:spacing w:before="120"/>
        <w:ind w:left="567" w:hanging="567"/>
        <w:contextualSpacing w:val="0"/>
      </w:pPr>
      <w:r w:rsidRPr="00DE7447">
        <w:t xml:space="preserve">fire protection system testing records are to be </w:t>
      </w:r>
      <w:proofErr w:type="gramStart"/>
      <w:r w:rsidRPr="00DE7447">
        <w:t>kept;</w:t>
      </w:r>
      <w:proofErr w:type="gramEnd"/>
      <w:r w:rsidRPr="00784401">
        <w:tab/>
      </w:r>
    </w:p>
    <w:p w14:paraId="61821B81" w14:textId="77777777" w:rsidR="00DA7A13" w:rsidRPr="00784401" w:rsidRDefault="00E9069F" w:rsidP="00D62420">
      <w:pPr>
        <w:pStyle w:val="ListParagraph"/>
        <w:numPr>
          <w:ilvl w:val="1"/>
          <w:numId w:val="9"/>
        </w:numPr>
        <w:spacing w:before="120"/>
        <w:ind w:left="567" w:hanging="567"/>
        <w:contextualSpacing w:val="0"/>
      </w:pPr>
      <w:r w:rsidRPr="00784401">
        <w:t>incident investigations involving material harm must be kept for the life of the facility</w:t>
      </w:r>
    </w:p>
    <w:p w14:paraId="61821B82" w14:textId="3C27B7B4" w:rsidR="00784401" w:rsidRPr="00784401" w:rsidRDefault="00E9069F" w:rsidP="00D62420">
      <w:pPr>
        <w:pStyle w:val="ListParagraph"/>
        <w:numPr>
          <w:ilvl w:val="1"/>
          <w:numId w:val="9"/>
        </w:numPr>
        <w:spacing w:before="120"/>
        <w:ind w:left="567" w:hanging="567"/>
        <w:contextualSpacing w:val="0"/>
      </w:pPr>
      <w:r>
        <w:lastRenderedPageBreak/>
        <w:t>c</w:t>
      </w:r>
      <w:r w:rsidRPr="00784401">
        <w:t xml:space="preserve">ertificates of disposal must be kept in accordance with the Site Environmental </w:t>
      </w:r>
      <w:r w:rsidR="00CF4891">
        <w:t>Licence</w:t>
      </w:r>
      <w:r w:rsidRPr="00784401">
        <w:t xml:space="preserve"> and the Environmental Protection (Controlled Waste) Regulations 2004.  </w:t>
      </w:r>
    </w:p>
    <w:p w14:paraId="61821B83" w14:textId="092E8267" w:rsidR="003E319D" w:rsidRDefault="00FD1A01" w:rsidP="003A782C">
      <w:pPr>
        <w:pStyle w:val="Heading1"/>
        <w:numPr>
          <w:ilvl w:val="0"/>
          <w:numId w:val="0"/>
        </w:numPr>
        <w:tabs>
          <w:tab w:val="clear" w:pos="851"/>
          <w:tab w:val="left" w:pos="426"/>
        </w:tabs>
      </w:pPr>
      <w:bookmarkStart w:id="297" w:name="_Toc19005571"/>
      <w:bookmarkStart w:id="298" w:name="_Toc101439010"/>
      <w:r>
        <w:t>17.</w:t>
      </w:r>
      <w:r w:rsidR="00AF6B8C" w:rsidDel="00AF6B8C">
        <w:t xml:space="preserve"> </w:t>
      </w:r>
      <w:r w:rsidR="004A470C">
        <w:t>Na</w:t>
      </w:r>
      <w:r w:rsidR="00E9069F">
        <w:t>nomaterials</w:t>
      </w:r>
      <w:bookmarkEnd w:id="297"/>
      <w:bookmarkEnd w:id="298"/>
    </w:p>
    <w:p w14:paraId="61821B84" w14:textId="3488284A" w:rsidR="00372552" w:rsidRPr="00A606C5" w:rsidRDefault="00FD1A01" w:rsidP="005E44A4">
      <w:pPr>
        <w:pStyle w:val="Heading2"/>
      </w:pPr>
      <w:bookmarkStart w:id="299" w:name="_Toc19005572"/>
      <w:bookmarkStart w:id="300" w:name="_Toc101439011"/>
      <w:r>
        <w:t>1</w:t>
      </w:r>
      <w:r w:rsidR="00AF6B8C">
        <w:t>7</w:t>
      </w:r>
      <w:r w:rsidR="00E9069F">
        <w:t xml:space="preserve">.1   </w:t>
      </w:r>
      <w:r w:rsidR="00A606C5" w:rsidRPr="00A606C5">
        <w:t>Terminology</w:t>
      </w:r>
      <w:bookmarkEnd w:id="299"/>
      <w:bookmarkEnd w:id="300"/>
    </w:p>
    <w:p w14:paraId="61821B85" w14:textId="77777777" w:rsidR="00F75683" w:rsidRPr="00F75683" w:rsidRDefault="00E9069F" w:rsidP="00B85A1F">
      <w:pPr>
        <w:rPr>
          <w:lang w:eastAsia="en-US"/>
        </w:rPr>
      </w:pPr>
      <w:bookmarkStart w:id="301" w:name="_Toc432408289"/>
      <w:r w:rsidRPr="00372552">
        <w:rPr>
          <w:lang w:eastAsia="en-US"/>
        </w:rPr>
        <w:t>Nano-objects are defined as materials with one (nanoplate), two (nanorod) or three (nanoparticle) external dimensions in the nanoscale (</w:t>
      </w:r>
      <w:proofErr w:type="gramStart"/>
      <w:r w:rsidRPr="00372552">
        <w:rPr>
          <w:lang w:eastAsia="en-US"/>
        </w:rPr>
        <w:t>i.e.</w:t>
      </w:r>
      <w:proofErr w:type="gramEnd"/>
      <w:r w:rsidRPr="00372552">
        <w:rPr>
          <w:lang w:eastAsia="en-US"/>
        </w:rPr>
        <w:t xml:space="preserve"> between approximately 1 and 100 nm). </w:t>
      </w:r>
      <w:r>
        <w:rPr>
          <w:lang w:eastAsia="en-US"/>
        </w:rPr>
        <w:t>Nano-</w:t>
      </w:r>
      <w:r w:rsidR="00A606C5">
        <w:rPr>
          <w:lang w:eastAsia="en-US"/>
        </w:rPr>
        <w:t>objects can</w:t>
      </w:r>
      <w:r>
        <w:rPr>
          <w:lang w:eastAsia="en-US"/>
        </w:rPr>
        <w:t xml:space="preserve"> form agglomerates and aggregates.</w:t>
      </w:r>
      <w:r w:rsidR="00A606C5">
        <w:rPr>
          <w:lang w:eastAsia="en-US"/>
        </w:rPr>
        <w:t xml:space="preserve"> </w:t>
      </w:r>
      <w:proofErr w:type="gramStart"/>
      <w:r w:rsidR="00A606C5">
        <w:rPr>
          <w:lang w:eastAsia="en-US"/>
        </w:rPr>
        <w:t>For the purpose of</w:t>
      </w:r>
      <w:proofErr w:type="gramEnd"/>
      <w:r w:rsidR="00A606C5">
        <w:rPr>
          <w:lang w:eastAsia="en-US"/>
        </w:rPr>
        <w:t xml:space="preserve"> this document, the term nanomaterials shall apply as a collective for to the above materials. </w:t>
      </w:r>
    </w:p>
    <w:p w14:paraId="61821B86" w14:textId="537BFFEB" w:rsidR="00A606C5" w:rsidRPr="00DE7447" w:rsidRDefault="00FD1A01" w:rsidP="005E44A4">
      <w:pPr>
        <w:pStyle w:val="Heading2"/>
      </w:pPr>
      <w:bookmarkStart w:id="302" w:name="_Toc19005573"/>
      <w:bookmarkStart w:id="303" w:name="_Toc101439012"/>
      <w:r>
        <w:t>1</w:t>
      </w:r>
      <w:r w:rsidR="00AF6B8C">
        <w:t>7</w:t>
      </w:r>
      <w:r w:rsidR="00E9069F">
        <w:t xml:space="preserve">.2   </w:t>
      </w:r>
      <w:r w:rsidR="00A943AA" w:rsidRPr="00DE7447">
        <w:t>Legislation</w:t>
      </w:r>
      <w:bookmarkEnd w:id="302"/>
      <w:bookmarkEnd w:id="303"/>
      <w:r w:rsidR="00E9069F" w:rsidRPr="00DE7447">
        <w:t xml:space="preserve"> </w:t>
      </w:r>
    </w:p>
    <w:p w14:paraId="61821B87" w14:textId="77777777" w:rsidR="008B0D96" w:rsidRPr="008B0D96" w:rsidRDefault="00E9069F" w:rsidP="008B0D96">
      <w:pPr>
        <w:rPr>
          <w:rFonts w:eastAsiaTheme="minorHAnsi"/>
          <w:lang w:eastAsia="en-US"/>
        </w:rPr>
      </w:pPr>
      <w:r w:rsidRPr="00A943AA">
        <w:rPr>
          <w:rFonts w:eastAsiaTheme="minorHAnsi"/>
          <w:lang w:eastAsia="en-US"/>
        </w:rPr>
        <w:t xml:space="preserve">There is currently no WA legislation dealing specifically with nanomaterials. However, legislation covering chemicals is applicable to nanomaterials. In </w:t>
      </w:r>
      <w:r>
        <w:rPr>
          <w:rFonts w:eastAsiaTheme="minorHAnsi"/>
          <w:lang w:eastAsia="en-US"/>
        </w:rPr>
        <w:t>WA,</w:t>
      </w:r>
      <w:r w:rsidRPr="00A943AA">
        <w:rPr>
          <w:rFonts w:eastAsiaTheme="minorHAnsi"/>
          <w:lang w:eastAsia="en-US"/>
        </w:rPr>
        <w:t xml:space="preserve"> </w:t>
      </w:r>
      <w:r>
        <w:rPr>
          <w:rFonts w:eastAsiaTheme="minorHAnsi"/>
          <w:lang w:eastAsia="en-US"/>
        </w:rPr>
        <w:t xml:space="preserve">nanomaterials are covered </w:t>
      </w:r>
      <w:r w:rsidRPr="00A943AA">
        <w:rPr>
          <w:rFonts w:eastAsiaTheme="minorHAnsi"/>
          <w:lang w:eastAsia="en-US"/>
        </w:rPr>
        <w:t>under</w:t>
      </w:r>
      <w:r>
        <w:rPr>
          <w:rFonts w:eastAsiaTheme="minorHAnsi"/>
          <w:lang w:eastAsia="en-US"/>
        </w:rPr>
        <w:t xml:space="preserve"> the Occupational Safety &amp; Health Act &amp; Regulations as part of </w:t>
      </w:r>
      <w:r w:rsidRPr="00A943AA">
        <w:rPr>
          <w:rFonts w:eastAsiaTheme="minorHAnsi"/>
          <w:lang w:eastAsia="en-US"/>
        </w:rPr>
        <w:t xml:space="preserve">the </w:t>
      </w:r>
      <w:r>
        <w:rPr>
          <w:rFonts w:eastAsiaTheme="minorHAnsi"/>
          <w:lang w:eastAsia="en-US"/>
        </w:rPr>
        <w:t xml:space="preserve">regulations that cover </w:t>
      </w:r>
      <w:r w:rsidR="00423AA3" w:rsidRPr="00A943AA">
        <w:rPr>
          <w:rFonts w:eastAsiaTheme="minorHAnsi"/>
          <w:lang w:eastAsia="en-US"/>
        </w:rPr>
        <w:t xml:space="preserve">hazardous </w:t>
      </w:r>
      <w:r w:rsidR="00423AA3">
        <w:rPr>
          <w:rFonts w:eastAsiaTheme="minorHAnsi"/>
          <w:lang w:eastAsia="en-US"/>
        </w:rPr>
        <w:t>substances/</w:t>
      </w:r>
      <w:r>
        <w:rPr>
          <w:rFonts w:eastAsiaTheme="minorHAnsi"/>
          <w:lang w:eastAsia="en-US"/>
        </w:rPr>
        <w:t xml:space="preserve">chemicals. </w:t>
      </w:r>
      <w:bookmarkEnd w:id="301"/>
    </w:p>
    <w:p w14:paraId="61821B88" w14:textId="2C1F5836" w:rsidR="00A606C5" w:rsidRDefault="00FD1A01" w:rsidP="005E44A4">
      <w:pPr>
        <w:pStyle w:val="Heading2"/>
      </w:pPr>
      <w:bookmarkStart w:id="304" w:name="_Toc19005574"/>
      <w:bookmarkStart w:id="305" w:name="_Toc101439013"/>
      <w:r>
        <w:t>1</w:t>
      </w:r>
      <w:r w:rsidR="00AF6B8C">
        <w:t>7</w:t>
      </w:r>
      <w:r w:rsidR="00E9069F">
        <w:t xml:space="preserve">.3   Types of Engineered </w:t>
      </w:r>
      <w:r w:rsidR="00E9069F" w:rsidRPr="00A606C5">
        <w:t>Nanoma</w:t>
      </w:r>
      <w:r w:rsidR="00E9069F">
        <w:t>terials</w:t>
      </w:r>
      <w:bookmarkEnd w:id="304"/>
      <w:bookmarkEnd w:id="305"/>
    </w:p>
    <w:p w14:paraId="61821B89" w14:textId="77777777" w:rsidR="00A606C5" w:rsidRPr="00A606C5" w:rsidRDefault="00E9069F" w:rsidP="00B85A1F">
      <w:pPr>
        <w:rPr>
          <w:rFonts w:eastAsiaTheme="minorHAnsi"/>
          <w:lang w:eastAsia="en-US"/>
        </w:rPr>
      </w:pPr>
      <w:r>
        <w:rPr>
          <w:lang w:eastAsia="en-US"/>
        </w:rPr>
        <w:t xml:space="preserve">While some occur naturally, many nanomaterials are engineered with specific properties in mind. </w:t>
      </w:r>
      <w:r w:rsidR="00907B03">
        <w:rPr>
          <w:rFonts w:eastAsiaTheme="minorHAnsi"/>
          <w:lang w:eastAsia="en-US"/>
        </w:rPr>
        <w:t>Table 7</w:t>
      </w:r>
      <w:r w:rsidRPr="00A606C5">
        <w:rPr>
          <w:rFonts w:eastAsiaTheme="minorHAnsi"/>
          <w:lang w:eastAsia="en-US"/>
        </w:rPr>
        <w:t xml:space="preserve"> provide</w:t>
      </w:r>
      <w:r>
        <w:rPr>
          <w:rFonts w:eastAsiaTheme="minorHAnsi"/>
          <w:lang w:eastAsia="en-US"/>
        </w:rPr>
        <w:t>s</w:t>
      </w:r>
      <w:r w:rsidRPr="00A606C5">
        <w:rPr>
          <w:rFonts w:eastAsiaTheme="minorHAnsi"/>
          <w:lang w:eastAsia="en-US"/>
        </w:rPr>
        <w:t xml:space="preserve"> details on some of the more common types of engineered nanomaterials to which this guide might be applied.</w:t>
      </w:r>
    </w:p>
    <w:p w14:paraId="61821B8A" w14:textId="18C91EAA" w:rsidR="00A606C5" w:rsidRPr="00A606C5" w:rsidRDefault="00E9069F" w:rsidP="00A606C5">
      <w:pPr>
        <w:tabs>
          <w:tab w:val="left" w:pos="992"/>
        </w:tabs>
        <w:spacing w:after="120"/>
        <w:ind w:left="992" w:hanging="992"/>
        <w:rPr>
          <w:rFonts w:asciiTheme="minorHAnsi" w:eastAsia="Calibri" w:hAnsiTheme="minorHAnsi" w:cstheme="minorBidi"/>
          <w:b/>
          <w:bCs/>
          <w:sz w:val="18"/>
          <w:szCs w:val="18"/>
          <w:lang w:val="en-US" w:eastAsia="en-US"/>
        </w:rPr>
      </w:pPr>
      <w:bookmarkStart w:id="306" w:name="_Toc18574532"/>
      <w:bookmarkStart w:id="307" w:name="_Toc99619994"/>
      <w:r w:rsidRPr="00A606C5">
        <w:rPr>
          <w:rFonts w:eastAsia="Calibri" w:cs="Calibri"/>
          <w:b/>
          <w:bCs/>
          <w:sz w:val="18"/>
          <w:szCs w:val="18"/>
          <w:lang w:val="en-US" w:eastAsia="en-US"/>
        </w:rPr>
        <w:t>Table </w:t>
      </w:r>
      <w:r w:rsidR="0066456F" w:rsidRPr="001643AC">
        <w:rPr>
          <w:rFonts w:eastAsia="Calibri" w:cs="Calibri"/>
          <w:b/>
          <w:bCs/>
          <w:sz w:val="18"/>
          <w:szCs w:val="18"/>
          <w:lang w:val="en-US" w:eastAsia="en-US"/>
        </w:rPr>
        <w:fldChar w:fldCharType="begin"/>
      </w:r>
      <w:r w:rsidR="0066456F" w:rsidRPr="001643AC">
        <w:rPr>
          <w:rFonts w:eastAsia="Calibri" w:cs="Calibri"/>
          <w:b/>
          <w:bCs/>
          <w:sz w:val="18"/>
          <w:szCs w:val="18"/>
          <w:lang w:val="en-US" w:eastAsia="en-US"/>
        </w:rPr>
        <w:instrText xml:space="preserve"> SEQ Table \* ARABIC </w:instrText>
      </w:r>
      <w:r w:rsidR="0066456F" w:rsidRPr="001643AC">
        <w:rPr>
          <w:rFonts w:eastAsia="Calibri" w:cs="Calibri"/>
          <w:b/>
          <w:bCs/>
          <w:sz w:val="18"/>
          <w:szCs w:val="18"/>
          <w:lang w:val="en-US" w:eastAsia="en-US"/>
        </w:rPr>
        <w:fldChar w:fldCharType="separate"/>
      </w:r>
      <w:r w:rsidR="00BC0589">
        <w:rPr>
          <w:rFonts w:eastAsia="Calibri" w:cs="Calibri"/>
          <w:b/>
          <w:bCs/>
          <w:noProof/>
          <w:sz w:val="18"/>
          <w:szCs w:val="18"/>
          <w:lang w:val="en-US" w:eastAsia="en-US"/>
        </w:rPr>
        <w:t>7</w:t>
      </w:r>
      <w:r w:rsidR="0066456F" w:rsidRPr="001643AC">
        <w:rPr>
          <w:rFonts w:eastAsia="Calibri" w:cs="Calibri"/>
          <w:b/>
          <w:bCs/>
          <w:sz w:val="18"/>
          <w:szCs w:val="18"/>
          <w:lang w:val="en-US" w:eastAsia="en-US"/>
        </w:rPr>
        <w:fldChar w:fldCharType="end"/>
      </w:r>
      <w:r w:rsidR="00F80633">
        <w:rPr>
          <w:rFonts w:eastAsia="Calibri" w:cs="Calibri"/>
          <w:b/>
          <w:bCs/>
          <w:sz w:val="18"/>
          <w:szCs w:val="18"/>
          <w:lang w:val="en-US" w:eastAsia="en-US"/>
        </w:rPr>
        <w:t>:</w:t>
      </w:r>
      <w:r w:rsidR="00C14BF5">
        <w:rPr>
          <w:rFonts w:eastAsia="Calibri" w:cs="Calibri"/>
          <w:b/>
          <w:bCs/>
          <w:sz w:val="18"/>
          <w:szCs w:val="18"/>
          <w:lang w:val="en-US" w:eastAsia="en-US"/>
        </w:rPr>
        <w:t xml:space="preserve"> </w:t>
      </w:r>
      <w:r w:rsidRPr="00A606C5">
        <w:rPr>
          <w:rFonts w:eastAsia="Calibri" w:cs="Calibri"/>
          <w:b/>
          <w:bCs/>
          <w:sz w:val="18"/>
          <w:szCs w:val="18"/>
          <w:lang w:val="en-US" w:eastAsia="en-US"/>
        </w:rPr>
        <w:t>Common types of engineered nanomaterials</w:t>
      </w:r>
      <w:bookmarkEnd w:id="306"/>
      <w:bookmarkEnd w:id="307"/>
    </w:p>
    <w:tbl>
      <w:tblPr>
        <w:tblStyle w:val="TableGrid1"/>
        <w:tblW w:w="0" w:type="auto"/>
        <w:tblLook w:val="04A0" w:firstRow="1" w:lastRow="0" w:firstColumn="1" w:lastColumn="0" w:noHBand="0" w:noVBand="1"/>
      </w:tblPr>
      <w:tblGrid>
        <w:gridCol w:w="1678"/>
        <w:gridCol w:w="5518"/>
        <w:gridCol w:w="2046"/>
      </w:tblGrid>
      <w:tr w:rsidR="0059373B" w14:paraId="61821B8E" w14:textId="77777777" w:rsidTr="00A943AA">
        <w:trPr>
          <w:tblHeader/>
        </w:trPr>
        <w:tc>
          <w:tcPr>
            <w:tcW w:w="1678" w:type="dxa"/>
          </w:tcPr>
          <w:p w14:paraId="61821B8B" w14:textId="77777777" w:rsidR="00A606C5" w:rsidRPr="00B85A1F" w:rsidRDefault="00E9069F" w:rsidP="00A606C5">
            <w:pPr>
              <w:keepLines w:val="0"/>
              <w:spacing w:before="0" w:after="120"/>
              <w:rPr>
                <w:rFonts w:eastAsiaTheme="minorHAnsi" w:cs="Arial"/>
                <w:b/>
                <w:sz w:val="20"/>
                <w:szCs w:val="20"/>
              </w:rPr>
            </w:pPr>
            <w:r w:rsidRPr="00B85A1F">
              <w:rPr>
                <w:rFonts w:eastAsiaTheme="minorHAnsi" w:cs="Arial"/>
                <w:b/>
                <w:sz w:val="20"/>
                <w:szCs w:val="20"/>
              </w:rPr>
              <w:t>Type</w:t>
            </w:r>
          </w:p>
        </w:tc>
        <w:tc>
          <w:tcPr>
            <w:tcW w:w="5518" w:type="dxa"/>
          </w:tcPr>
          <w:p w14:paraId="61821B8C" w14:textId="77777777" w:rsidR="00A606C5" w:rsidRPr="00B85A1F" w:rsidRDefault="00E9069F" w:rsidP="00A606C5">
            <w:pPr>
              <w:keepLines w:val="0"/>
              <w:spacing w:before="0" w:after="120"/>
              <w:rPr>
                <w:rFonts w:eastAsiaTheme="minorHAnsi" w:cs="Arial"/>
                <w:b/>
                <w:sz w:val="20"/>
                <w:szCs w:val="20"/>
              </w:rPr>
            </w:pPr>
            <w:r w:rsidRPr="00B85A1F">
              <w:rPr>
                <w:rFonts w:eastAsiaTheme="minorHAnsi" w:cs="Arial"/>
                <w:b/>
                <w:sz w:val="20"/>
                <w:szCs w:val="20"/>
              </w:rPr>
              <w:t xml:space="preserve">Description </w:t>
            </w:r>
          </w:p>
        </w:tc>
        <w:tc>
          <w:tcPr>
            <w:tcW w:w="2046" w:type="dxa"/>
          </w:tcPr>
          <w:p w14:paraId="61821B8D" w14:textId="77777777" w:rsidR="00A606C5" w:rsidRPr="00B85A1F" w:rsidRDefault="00E9069F" w:rsidP="00A606C5">
            <w:pPr>
              <w:keepLines w:val="0"/>
              <w:spacing w:before="0" w:after="120"/>
              <w:jc w:val="left"/>
              <w:rPr>
                <w:rFonts w:eastAsiaTheme="minorHAnsi" w:cs="Arial"/>
                <w:b/>
                <w:sz w:val="20"/>
                <w:szCs w:val="20"/>
              </w:rPr>
            </w:pPr>
            <w:r w:rsidRPr="00B85A1F">
              <w:rPr>
                <w:rFonts w:eastAsiaTheme="minorHAnsi" w:cs="Arial"/>
                <w:b/>
                <w:sz w:val="20"/>
                <w:szCs w:val="20"/>
              </w:rPr>
              <w:t>Characteristics</w:t>
            </w:r>
          </w:p>
        </w:tc>
      </w:tr>
      <w:tr w:rsidR="0059373B" w14:paraId="61821B92" w14:textId="77777777" w:rsidTr="00A943AA">
        <w:tc>
          <w:tcPr>
            <w:tcW w:w="1678" w:type="dxa"/>
          </w:tcPr>
          <w:p w14:paraId="61821B8F" w14:textId="77777777" w:rsidR="00A606C5" w:rsidRPr="00B85A1F" w:rsidRDefault="00E9069F" w:rsidP="00A606C5">
            <w:pPr>
              <w:keepLines w:val="0"/>
              <w:spacing w:before="0" w:after="120"/>
              <w:rPr>
                <w:rFonts w:eastAsiaTheme="minorHAnsi" w:cs="Arial"/>
                <w:sz w:val="20"/>
                <w:szCs w:val="20"/>
              </w:rPr>
            </w:pPr>
            <w:r w:rsidRPr="00B85A1F">
              <w:rPr>
                <w:rFonts w:eastAsiaTheme="minorHAnsi" w:cs="Arial"/>
                <w:sz w:val="20"/>
                <w:szCs w:val="20"/>
              </w:rPr>
              <w:t>Fullerenes</w:t>
            </w:r>
          </w:p>
        </w:tc>
        <w:tc>
          <w:tcPr>
            <w:tcW w:w="5518" w:type="dxa"/>
          </w:tcPr>
          <w:p w14:paraId="61821B90" w14:textId="77777777" w:rsidR="00A606C5" w:rsidRPr="00B85A1F" w:rsidRDefault="00E9069F" w:rsidP="00A606C5">
            <w:pPr>
              <w:keepLines w:val="0"/>
              <w:spacing w:before="0" w:after="120"/>
              <w:rPr>
                <w:rFonts w:eastAsiaTheme="minorHAnsi" w:cs="Arial"/>
                <w:sz w:val="20"/>
                <w:szCs w:val="20"/>
              </w:rPr>
            </w:pPr>
            <w:r w:rsidRPr="00B85A1F">
              <w:rPr>
                <w:rFonts w:eastAsiaTheme="minorHAnsi" w:cs="Arial"/>
                <w:sz w:val="20"/>
                <w:szCs w:val="20"/>
              </w:rPr>
              <w:t xml:space="preserve">Fullerenes comprise one of four types of </w:t>
            </w:r>
            <w:proofErr w:type="gramStart"/>
            <w:r w:rsidRPr="00B85A1F">
              <w:rPr>
                <w:rFonts w:eastAsiaTheme="minorHAnsi" w:cs="Arial"/>
                <w:sz w:val="20"/>
                <w:szCs w:val="20"/>
              </w:rPr>
              <w:t>naturally-occurring</w:t>
            </w:r>
            <w:proofErr w:type="gramEnd"/>
            <w:r w:rsidRPr="00B85A1F">
              <w:rPr>
                <w:rFonts w:eastAsiaTheme="minorHAnsi" w:cs="Arial"/>
                <w:sz w:val="20"/>
                <w:szCs w:val="20"/>
              </w:rPr>
              <w:t xml:space="preserve"> forms of carbon. Their molecules are composed entirely of carbon and take the form of a hollow sphere. One of the </w:t>
            </w:r>
            <w:proofErr w:type="gramStart"/>
            <w:r w:rsidRPr="00B85A1F">
              <w:rPr>
                <w:rFonts w:eastAsiaTheme="minorHAnsi" w:cs="Arial"/>
                <w:sz w:val="20"/>
                <w:szCs w:val="20"/>
              </w:rPr>
              <w:t>most commonly described</w:t>
            </w:r>
            <w:proofErr w:type="gramEnd"/>
            <w:r w:rsidRPr="00B85A1F">
              <w:rPr>
                <w:rFonts w:eastAsiaTheme="minorHAnsi" w:cs="Arial"/>
                <w:sz w:val="20"/>
                <w:szCs w:val="20"/>
              </w:rPr>
              <w:t xml:space="preserve"> fullerenes is C60, known as a Buckminster fullerene or a buckyball. Fullerenes are chemically stable materials and insoluble in aqueous solutions. Potential applications include drug delivery, </w:t>
            </w:r>
            <w:proofErr w:type="gramStart"/>
            <w:r w:rsidRPr="00B85A1F">
              <w:rPr>
                <w:rFonts w:eastAsiaTheme="minorHAnsi" w:cs="Arial"/>
                <w:sz w:val="20"/>
                <w:szCs w:val="20"/>
              </w:rPr>
              <w:t>coatings</w:t>
            </w:r>
            <w:proofErr w:type="gramEnd"/>
            <w:r w:rsidRPr="00B85A1F">
              <w:rPr>
                <w:rFonts w:eastAsiaTheme="minorHAnsi" w:cs="Arial"/>
                <w:sz w:val="20"/>
                <w:szCs w:val="20"/>
              </w:rPr>
              <w:t xml:space="preserve"> and hydrogen storage.</w:t>
            </w:r>
          </w:p>
        </w:tc>
        <w:tc>
          <w:tcPr>
            <w:tcW w:w="2046" w:type="dxa"/>
          </w:tcPr>
          <w:p w14:paraId="61821B91" w14:textId="77777777" w:rsidR="00A606C5" w:rsidRPr="00B85A1F" w:rsidRDefault="00E9069F" w:rsidP="00A606C5">
            <w:pPr>
              <w:keepLines w:val="0"/>
              <w:spacing w:before="0" w:after="120"/>
              <w:jc w:val="left"/>
              <w:rPr>
                <w:rFonts w:eastAsiaTheme="minorHAnsi" w:cs="Arial"/>
                <w:sz w:val="20"/>
                <w:szCs w:val="20"/>
              </w:rPr>
            </w:pPr>
            <w:r w:rsidRPr="00B85A1F">
              <w:rPr>
                <w:rFonts w:eastAsiaTheme="minorHAnsi" w:cs="Arial"/>
                <w:sz w:val="20"/>
                <w:szCs w:val="20"/>
              </w:rPr>
              <w:t>carbon-only molecules (hollow sphere, ellipsoid, tube, or plane)</w:t>
            </w:r>
          </w:p>
        </w:tc>
      </w:tr>
      <w:tr w:rsidR="0059373B" w14:paraId="61821B97" w14:textId="77777777" w:rsidTr="00A943AA">
        <w:tc>
          <w:tcPr>
            <w:tcW w:w="1678" w:type="dxa"/>
          </w:tcPr>
          <w:p w14:paraId="61821B93" w14:textId="77777777" w:rsidR="00A606C5" w:rsidRPr="00B85A1F" w:rsidRDefault="00E9069F" w:rsidP="00A606C5">
            <w:pPr>
              <w:keepLines w:val="0"/>
              <w:spacing w:before="0" w:after="120"/>
              <w:rPr>
                <w:rFonts w:eastAsiaTheme="minorHAnsi" w:cs="Arial"/>
                <w:sz w:val="20"/>
                <w:szCs w:val="20"/>
              </w:rPr>
            </w:pPr>
            <w:r w:rsidRPr="00B85A1F">
              <w:rPr>
                <w:rFonts w:eastAsiaTheme="minorHAnsi" w:cs="Arial"/>
                <w:sz w:val="20"/>
                <w:szCs w:val="20"/>
              </w:rPr>
              <w:t>Carbon nanotubes</w:t>
            </w:r>
          </w:p>
        </w:tc>
        <w:tc>
          <w:tcPr>
            <w:tcW w:w="5518" w:type="dxa"/>
          </w:tcPr>
          <w:p w14:paraId="61821B94" w14:textId="77777777" w:rsidR="00A606C5" w:rsidRPr="00B85A1F" w:rsidRDefault="00E9069F" w:rsidP="00A606C5">
            <w:pPr>
              <w:keepLines w:val="0"/>
              <w:spacing w:before="0" w:after="120"/>
              <w:rPr>
                <w:rFonts w:eastAsiaTheme="minorHAnsi" w:cs="Arial"/>
                <w:sz w:val="20"/>
                <w:szCs w:val="20"/>
              </w:rPr>
            </w:pPr>
            <w:r w:rsidRPr="00B85A1F">
              <w:rPr>
                <w:rFonts w:eastAsiaTheme="minorHAnsi" w:cs="Arial"/>
                <w:sz w:val="20"/>
                <w:szCs w:val="20"/>
              </w:rPr>
              <w:t xml:space="preserve">Carbon nanotubes (CNT) are allotropes of carbon with cylindrical structure, high-aspect ratio different tube diameters and lengths as well as tube structures principally consisting of </w:t>
            </w:r>
            <w:proofErr w:type="gramStart"/>
            <w:r w:rsidRPr="00B85A1F">
              <w:rPr>
                <w:rFonts w:eastAsiaTheme="minorHAnsi" w:cs="Arial"/>
                <w:sz w:val="20"/>
                <w:szCs w:val="20"/>
              </w:rPr>
              <w:t>one to many</w:t>
            </w:r>
            <w:proofErr w:type="gramEnd"/>
            <w:r w:rsidRPr="00B85A1F">
              <w:rPr>
                <w:rFonts w:eastAsiaTheme="minorHAnsi" w:cs="Arial"/>
                <w:sz w:val="20"/>
                <w:szCs w:val="20"/>
              </w:rPr>
              <w:t xml:space="preserve"> layers of tubular graphene-like sheets. The principal types are usually grouped into SW (single-walled), DW (double walled), and MW (multi-walled) CNT. Diameters may vary from around 1 nm for SWCNT to more than 100 nm for MWCNT. Their lengths can exceed several hundred </w:t>
            </w:r>
            <w:proofErr w:type="spellStart"/>
            <w:r w:rsidRPr="00B85A1F">
              <w:rPr>
                <w:rFonts w:eastAsiaTheme="minorHAnsi" w:cs="Arial"/>
                <w:sz w:val="20"/>
                <w:szCs w:val="20"/>
              </w:rPr>
              <w:t>μm</w:t>
            </w:r>
            <w:proofErr w:type="spellEnd"/>
            <w:r w:rsidRPr="00B85A1F">
              <w:rPr>
                <w:rFonts w:eastAsiaTheme="minorHAnsi" w:cs="Arial"/>
                <w:sz w:val="20"/>
                <w:szCs w:val="20"/>
              </w:rPr>
              <w:t>. Commercial CNT can often contain a significant amount of other carbon allotropes and inorganic nanoparticle catalysts.</w:t>
            </w:r>
          </w:p>
        </w:tc>
        <w:tc>
          <w:tcPr>
            <w:tcW w:w="2046" w:type="dxa"/>
          </w:tcPr>
          <w:p w14:paraId="61821B95" w14:textId="77777777" w:rsidR="00A606C5" w:rsidRPr="00B85A1F" w:rsidRDefault="00E9069F" w:rsidP="00A606C5">
            <w:pPr>
              <w:keepLines w:val="0"/>
              <w:spacing w:before="0" w:after="120"/>
              <w:jc w:val="left"/>
              <w:rPr>
                <w:rFonts w:eastAsiaTheme="minorHAnsi" w:cs="Arial"/>
                <w:sz w:val="20"/>
                <w:szCs w:val="20"/>
              </w:rPr>
            </w:pPr>
            <w:r w:rsidRPr="00B85A1F">
              <w:rPr>
                <w:rFonts w:eastAsiaTheme="minorHAnsi" w:cs="Arial"/>
                <w:sz w:val="20"/>
                <w:szCs w:val="20"/>
              </w:rPr>
              <w:t>cylindrical fullerene (single or multi-walled, capped or uncapped)</w:t>
            </w:r>
          </w:p>
          <w:p w14:paraId="61821B96" w14:textId="77777777" w:rsidR="00A606C5" w:rsidRPr="00B85A1F" w:rsidRDefault="00A606C5" w:rsidP="00A606C5">
            <w:pPr>
              <w:keepLines w:val="0"/>
              <w:spacing w:before="0"/>
              <w:jc w:val="left"/>
              <w:rPr>
                <w:rFonts w:eastAsiaTheme="minorHAnsi" w:cs="Arial"/>
                <w:sz w:val="20"/>
                <w:szCs w:val="20"/>
              </w:rPr>
            </w:pPr>
          </w:p>
        </w:tc>
      </w:tr>
      <w:tr w:rsidR="0059373B" w14:paraId="61821B9B" w14:textId="77777777" w:rsidTr="00A943AA">
        <w:trPr>
          <w:cantSplit/>
        </w:trPr>
        <w:tc>
          <w:tcPr>
            <w:tcW w:w="1678" w:type="dxa"/>
          </w:tcPr>
          <w:p w14:paraId="61821B98" w14:textId="77777777" w:rsidR="00A606C5" w:rsidRPr="00B85A1F" w:rsidRDefault="00E9069F" w:rsidP="00A606C5">
            <w:pPr>
              <w:keepLines w:val="0"/>
              <w:spacing w:before="0" w:after="120"/>
              <w:rPr>
                <w:rFonts w:eastAsiaTheme="minorHAnsi" w:cs="Arial"/>
                <w:sz w:val="20"/>
                <w:szCs w:val="20"/>
              </w:rPr>
            </w:pPr>
            <w:r w:rsidRPr="00B85A1F">
              <w:rPr>
                <w:rFonts w:eastAsiaTheme="minorHAnsi" w:cs="Arial"/>
                <w:sz w:val="20"/>
                <w:szCs w:val="20"/>
              </w:rPr>
              <w:lastRenderedPageBreak/>
              <w:t>Nanowires</w:t>
            </w:r>
          </w:p>
        </w:tc>
        <w:tc>
          <w:tcPr>
            <w:tcW w:w="5518" w:type="dxa"/>
          </w:tcPr>
          <w:p w14:paraId="61821B99" w14:textId="77777777" w:rsidR="00A606C5" w:rsidRPr="00B85A1F" w:rsidRDefault="00E9069F" w:rsidP="00A606C5">
            <w:pPr>
              <w:keepLines w:val="0"/>
              <w:spacing w:before="0" w:after="120"/>
              <w:rPr>
                <w:rFonts w:eastAsiaTheme="minorHAnsi" w:cs="Arial"/>
                <w:sz w:val="20"/>
                <w:szCs w:val="20"/>
              </w:rPr>
            </w:pPr>
            <w:r w:rsidRPr="00B85A1F">
              <w:rPr>
                <w:rFonts w:eastAsiaTheme="minorHAnsi" w:cs="Arial"/>
                <w:sz w:val="20"/>
                <w:szCs w:val="20"/>
              </w:rPr>
              <w:t xml:space="preserve">Nanowires are small conducting or semi-conducting nanofibers with a single crystal structure, a typical diameter of a few 10s of nm and a large aspect ratio. Various metals have been used to manufacture nanowires, including cobalt, </w:t>
            </w:r>
            <w:proofErr w:type="gramStart"/>
            <w:r w:rsidRPr="00B85A1F">
              <w:rPr>
                <w:rFonts w:eastAsiaTheme="minorHAnsi" w:cs="Arial"/>
                <w:sz w:val="20"/>
                <w:szCs w:val="20"/>
              </w:rPr>
              <w:t>gold</w:t>
            </w:r>
            <w:proofErr w:type="gramEnd"/>
            <w:r w:rsidRPr="00B85A1F">
              <w:rPr>
                <w:rFonts w:eastAsiaTheme="minorHAnsi" w:cs="Arial"/>
                <w:sz w:val="20"/>
                <w:szCs w:val="20"/>
              </w:rPr>
              <w:t xml:space="preserve"> and copper. Silicon nanowires have also been produced. Potential applications include inter-connectors in Nano-electronic devices, </w:t>
            </w:r>
            <w:proofErr w:type="gramStart"/>
            <w:r w:rsidRPr="00B85A1F">
              <w:rPr>
                <w:rFonts w:eastAsiaTheme="minorHAnsi" w:cs="Arial"/>
                <w:sz w:val="20"/>
                <w:szCs w:val="20"/>
              </w:rPr>
              <w:t>photovoltaics</w:t>
            </w:r>
            <w:proofErr w:type="gramEnd"/>
            <w:r w:rsidRPr="00B85A1F">
              <w:rPr>
                <w:rFonts w:eastAsiaTheme="minorHAnsi" w:cs="Arial"/>
                <w:sz w:val="20"/>
                <w:szCs w:val="20"/>
              </w:rPr>
              <w:t xml:space="preserve"> and sensors.</w:t>
            </w:r>
          </w:p>
        </w:tc>
        <w:tc>
          <w:tcPr>
            <w:tcW w:w="2046" w:type="dxa"/>
          </w:tcPr>
          <w:p w14:paraId="61821B9A" w14:textId="77777777" w:rsidR="00A606C5" w:rsidRPr="00B85A1F" w:rsidRDefault="00E9069F" w:rsidP="00A606C5">
            <w:pPr>
              <w:keepLines w:val="0"/>
              <w:spacing w:before="0" w:after="120"/>
              <w:jc w:val="left"/>
              <w:rPr>
                <w:rFonts w:eastAsiaTheme="minorHAnsi" w:cs="Arial"/>
                <w:sz w:val="20"/>
                <w:szCs w:val="20"/>
              </w:rPr>
            </w:pPr>
            <w:r w:rsidRPr="00B85A1F">
              <w:rPr>
                <w:rFonts w:eastAsiaTheme="minorHAnsi" w:cs="Arial"/>
                <w:sz w:val="20"/>
                <w:szCs w:val="20"/>
              </w:rPr>
              <w:t>large aspect ratio</w:t>
            </w:r>
          </w:p>
        </w:tc>
      </w:tr>
      <w:tr w:rsidR="0059373B" w14:paraId="61821BA0" w14:textId="77777777" w:rsidTr="00A943AA">
        <w:tc>
          <w:tcPr>
            <w:tcW w:w="1678" w:type="dxa"/>
          </w:tcPr>
          <w:p w14:paraId="61821B9C" w14:textId="77777777" w:rsidR="00A606C5" w:rsidRPr="00B85A1F" w:rsidRDefault="00E9069F" w:rsidP="00A606C5">
            <w:pPr>
              <w:keepLines w:val="0"/>
              <w:spacing w:before="0" w:after="120"/>
              <w:rPr>
                <w:rFonts w:eastAsiaTheme="minorHAnsi" w:cs="Arial"/>
                <w:sz w:val="20"/>
                <w:szCs w:val="20"/>
              </w:rPr>
            </w:pPr>
            <w:r w:rsidRPr="00B85A1F">
              <w:rPr>
                <w:rFonts w:eastAsiaTheme="minorHAnsi" w:cs="Arial"/>
                <w:sz w:val="20"/>
                <w:szCs w:val="20"/>
              </w:rPr>
              <w:t>Quantum dots</w:t>
            </w:r>
          </w:p>
        </w:tc>
        <w:tc>
          <w:tcPr>
            <w:tcW w:w="5518" w:type="dxa"/>
          </w:tcPr>
          <w:p w14:paraId="61821B9D" w14:textId="77777777" w:rsidR="00A606C5" w:rsidRPr="00B85A1F" w:rsidRDefault="00E9069F" w:rsidP="00A606C5">
            <w:pPr>
              <w:keepLines w:val="0"/>
              <w:spacing w:before="0" w:after="120"/>
              <w:rPr>
                <w:rFonts w:eastAsiaTheme="minorHAnsi" w:cs="Arial"/>
                <w:sz w:val="20"/>
                <w:szCs w:val="20"/>
              </w:rPr>
            </w:pPr>
            <w:r w:rsidRPr="00B85A1F">
              <w:rPr>
                <w:rFonts w:eastAsiaTheme="minorHAnsi" w:cs="Arial"/>
                <w:sz w:val="20"/>
                <w:szCs w:val="20"/>
              </w:rPr>
              <w:t xml:space="preserve">Quantum dots are small (2 nm to 10 nm) assemblies of semiconductor materials with novel electronic, optical, </w:t>
            </w:r>
            <w:proofErr w:type="gramStart"/>
            <w:r w:rsidRPr="00B85A1F">
              <w:rPr>
                <w:rFonts w:eastAsiaTheme="minorHAnsi" w:cs="Arial"/>
                <w:sz w:val="20"/>
                <w:szCs w:val="20"/>
              </w:rPr>
              <w:t>magnetic</w:t>
            </w:r>
            <w:proofErr w:type="gramEnd"/>
            <w:r w:rsidRPr="00B85A1F">
              <w:rPr>
                <w:rFonts w:eastAsiaTheme="minorHAnsi" w:cs="Arial"/>
                <w:sz w:val="20"/>
                <w:szCs w:val="20"/>
              </w:rPr>
              <w:t xml:space="preserve"> and catalytic properties. Typically containing 1,000 to 100,000 atoms, quantum dots </w:t>
            </w:r>
            <w:proofErr w:type="gramStart"/>
            <w:r w:rsidRPr="00B85A1F">
              <w:rPr>
                <w:rFonts w:eastAsiaTheme="minorHAnsi" w:cs="Arial"/>
                <w:sz w:val="20"/>
                <w:szCs w:val="20"/>
              </w:rPr>
              <w:t>are considered to be</w:t>
            </w:r>
            <w:proofErr w:type="gramEnd"/>
            <w:r w:rsidRPr="00B85A1F">
              <w:rPr>
                <w:rFonts w:eastAsiaTheme="minorHAnsi" w:cs="Arial"/>
                <w:sz w:val="20"/>
                <w:szCs w:val="20"/>
              </w:rPr>
              <w:t xml:space="preserve"> something between an extended solid structure and a single molecular entity.</w:t>
            </w:r>
          </w:p>
          <w:p w14:paraId="61821B9E" w14:textId="77777777" w:rsidR="00A606C5" w:rsidRPr="00B85A1F" w:rsidRDefault="00E9069F" w:rsidP="00A606C5">
            <w:pPr>
              <w:keepLines w:val="0"/>
              <w:spacing w:before="0" w:after="120"/>
              <w:rPr>
                <w:rFonts w:eastAsiaTheme="minorHAnsi" w:cs="Arial"/>
                <w:sz w:val="20"/>
                <w:szCs w:val="20"/>
              </w:rPr>
            </w:pPr>
            <w:r w:rsidRPr="00B85A1F">
              <w:rPr>
                <w:rFonts w:eastAsiaTheme="minorHAnsi" w:cs="Arial"/>
                <w:sz w:val="20"/>
                <w:szCs w:val="20"/>
              </w:rPr>
              <w:t xml:space="preserve">Semiconductor quantum dots exhibit distinct photo-electronic properties which relate directly to their size. For example, by altering the particle size, the light emitted by the particle on excitation can be tuned to a specific desired wavelength. Applications include catalysis, medical imaging, optical </w:t>
            </w:r>
            <w:proofErr w:type="gramStart"/>
            <w:r w:rsidRPr="00B85A1F">
              <w:rPr>
                <w:rFonts w:eastAsiaTheme="minorHAnsi" w:cs="Arial"/>
                <w:sz w:val="20"/>
                <w:szCs w:val="20"/>
              </w:rPr>
              <w:t>devices</w:t>
            </w:r>
            <w:proofErr w:type="gramEnd"/>
            <w:r w:rsidRPr="00B85A1F">
              <w:rPr>
                <w:rFonts w:eastAsiaTheme="minorHAnsi" w:cs="Arial"/>
                <w:sz w:val="20"/>
                <w:szCs w:val="20"/>
              </w:rPr>
              <w:t xml:space="preserve"> and sensors.</w:t>
            </w:r>
          </w:p>
        </w:tc>
        <w:tc>
          <w:tcPr>
            <w:tcW w:w="2046" w:type="dxa"/>
          </w:tcPr>
          <w:p w14:paraId="61821B9F" w14:textId="77777777" w:rsidR="00A606C5" w:rsidRPr="00B85A1F" w:rsidRDefault="00E9069F" w:rsidP="00A606C5">
            <w:pPr>
              <w:keepLines w:val="0"/>
              <w:spacing w:before="0" w:after="120"/>
              <w:jc w:val="left"/>
              <w:rPr>
                <w:rFonts w:eastAsiaTheme="minorHAnsi" w:cs="Arial"/>
                <w:sz w:val="20"/>
                <w:szCs w:val="20"/>
              </w:rPr>
            </w:pPr>
            <w:r w:rsidRPr="00B85A1F">
              <w:rPr>
                <w:rFonts w:eastAsiaTheme="minorHAnsi" w:cs="Arial"/>
                <w:sz w:val="20"/>
                <w:szCs w:val="20"/>
              </w:rPr>
              <w:t>semi-conducting crystal core (</w:t>
            </w:r>
            <w:proofErr w:type="gramStart"/>
            <w:r w:rsidRPr="00B85A1F">
              <w:rPr>
                <w:rFonts w:eastAsiaTheme="minorHAnsi" w:cs="Arial"/>
                <w:sz w:val="20"/>
                <w:szCs w:val="20"/>
              </w:rPr>
              <w:t>e.g.</w:t>
            </w:r>
            <w:proofErr w:type="gramEnd"/>
            <w:r w:rsidRPr="00B85A1F">
              <w:rPr>
                <w:rFonts w:eastAsiaTheme="minorHAnsi" w:cs="Arial"/>
                <w:sz w:val="20"/>
                <w:szCs w:val="20"/>
              </w:rPr>
              <w:t xml:space="preserve"> </w:t>
            </w:r>
            <w:proofErr w:type="spellStart"/>
            <w:r w:rsidRPr="00B85A1F">
              <w:rPr>
                <w:rFonts w:eastAsiaTheme="minorHAnsi" w:cs="Arial"/>
                <w:sz w:val="20"/>
                <w:szCs w:val="20"/>
              </w:rPr>
              <w:t>CdSe</w:t>
            </w:r>
            <w:proofErr w:type="spellEnd"/>
            <w:r w:rsidRPr="00B85A1F">
              <w:rPr>
                <w:rFonts w:eastAsiaTheme="minorHAnsi" w:cs="Arial"/>
                <w:sz w:val="20"/>
                <w:szCs w:val="20"/>
              </w:rPr>
              <w:t xml:space="preserve">, </w:t>
            </w:r>
            <w:proofErr w:type="spellStart"/>
            <w:r w:rsidRPr="00B85A1F">
              <w:rPr>
                <w:rFonts w:eastAsiaTheme="minorHAnsi" w:cs="Arial"/>
                <w:sz w:val="20"/>
                <w:szCs w:val="20"/>
              </w:rPr>
              <w:t>CdS</w:t>
            </w:r>
            <w:proofErr w:type="spellEnd"/>
            <w:r w:rsidRPr="00B85A1F">
              <w:rPr>
                <w:rFonts w:eastAsiaTheme="minorHAnsi" w:cs="Arial"/>
                <w:sz w:val="20"/>
                <w:szCs w:val="20"/>
              </w:rPr>
              <w:t xml:space="preserve"> core, ZnS coat)</w:t>
            </w:r>
          </w:p>
        </w:tc>
      </w:tr>
      <w:tr w:rsidR="0059373B" w14:paraId="61821BA4" w14:textId="77777777" w:rsidTr="00A943AA">
        <w:tc>
          <w:tcPr>
            <w:tcW w:w="1678" w:type="dxa"/>
          </w:tcPr>
          <w:p w14:paraId="61821BA1" w14:textId="77777777" w:rsidR="00A606C5" w:rsidRPr="00B85A1F" w:rsidRDefault="00E9069F" w:rsidP="00A606C5">
            <w:pPr>
              <w:keepLines w:val="0"/>
              <w:spacing w:before="0" w:after="120"/>
              <w:rPr>
                <w:rFonts w:eastAsiaTheme="minorHAnsi" w:cs="Arial"/>
                <w:sz w:val="20"/>
                <w:szCs w:val="20"/>
              </w:rPr>
            </w:pPr>
            <w:r w:rsidRPr="00B85A1F">
              <w:rPr>
                <w:rFonts w:eastAsiaTheme="minorHAnsi" w:cs="Arial"/>
                <w:sz w:val="20"/>
                <w:szCs w:val="20"/>
              </w:rPr>
              <w:t>Metals and metal oxides, ceramics</w:t>
            </w:r>
          </w:p>
        </w:tc>
        <w:tc>
          <w:tcPr>
            <w:tcW w:w="5518" w:type="dxa"/>
          </w:tcPr>
          <w:p w14:paraId="61821BA2" w14:textId="77777777" w:rsidR="00A606C5" w:rsidRPr="00B85A1F" w:rsidRDefault="00E9069F" w:rsidP="00A606C5">
            <w:pPr>
              <w:keepLines w:val="0"/>
              <w:spacing w:before="0" w:after="120"/>
              <w:rPr>
                <w:rFonts w:eastAsiaTheme="minorHAnsi" w:cs="Arial"/>
                <w:sz w:val="20"/>
                <w:szCs w:val="20"/>
              </w:rPr>
            </w:pPr>
            <w:r w:rsidRPr="00B85A1F">
              <w:rPr>
                <w:rFonts w:eastAsiaTheme="minorHAnsi" w:cs="Arial"/>
                <w:sz w:val="20"/>
                <w:szCs w:val="20"/>
              </w:rPr>
              <w:t xml:space="preserve">This category includes a wide range of compact forms of nanoparticles, including ultrafine titanium dioxide and fumed silica. Such nanoparticles can be formed from many materials, including metals, </w:t>
            </w:r>
            <w:proofErr w:type="gramStart"/>
            <w:r w:rsidRPr="00B85A1F">
              <w:rPr>
                <w:rFonts w:eastAsiaTheme="minorHAnsi" w:cs="Arial"/>
                <w:sz w:val="20"/>
                <w:szCs w:val="20"/>
              </w:rPr>
              <w:t>oxides</w:t>
            </w:r>
            <w:proofErr w:type="gramEnd"/>
            <w:r w:rsidRPr="00B85A1F">
              <w:rPr>
                <w:rFonts w:eastAsiaTheme="minorHAnsi" w:cs="Arial"/>
                <w:sz w:val="20"/>
                <w:szCs w:val="20"/>
              </w:rPr>
              <w:t xml:space="preserve"> and ceramics. Although the primary particles have compact form, these materials are often available only in agglomerated or aggregated form. They can be composites having, for example, a metal core with an oxide shell, or alloys in which mixtures of metals are present. This group of nanoparticles is generally less well defined in terms of size and shape, and likely to be produced in larger bulk quantities than other forms of nanoparticles. Applications include coatings and pigments, catalysis, personal care products, </w:t>
            </w:r>
            <w:proofErr w:type="gramStart"/>
            <w:r w:rsidRPr="00B85A1F">
              <w:rPr>
                <w:rFonts w:eastAsiaTheme="minorHAnsi" w:cs="Arial"/>
                <w:sz w:val="20"/>
                <w:szCs w:val="20"/>
              </w:rPr>
              <w:t>cosmetics</w:t>
            </w:r>
            <w:proofErr w:type="gramEnd"/>
            <w:r w:rsidRPr="00B85A1F">
              <w:rPr>
                <w:rFonts w:eastAsiaTheme="minorHAnsi" w:cs="Arial"/>
                <w:sz w:val="20"/>
                <w:szCs w:val="20"/>
              </w:rPr>
              <w:t xml:space="preserve"> and composites.</w:t>
            </w:r>
          </w:p>
        </w:tc>
        <w:tc>
          <w:tcPr>
            <w:tcW w:w="2046" w:type="dxa"/>
          </w:tcPr>
          <w:p w14:paraId="61821BA3" w14:textId="77777777" w:rsidR="00A606C5" w:rsidRPr="00B85A1F" w:rsidRDefault="00E9069F" w:rsidP="00A606C5">
            <w:pPr>
              <w:keepLines w:val="0"/>
              <w:spacing w:before="0" w:after="120"/>
              <w:jc w:val="left"/>
              <w:rPr>
                <w:rFonts w:eastAsiaTheme="minorHAnsi" w:cs="Arial"/>
                <w:sz w:val="20"/>
                <w:szCs w:val="20"/>
              </w:rPr>
            </w:pPr>
            <w:r w:rsidRPr="00B85A1F">
              <w:rPr>
                <w:rFonts w:eastAsiaTheme="minorHAnsi" w:cs="Arial"/>
                <w:sz w:val="20"/>
                <w:szCs w:val="20"/>
              </w:rPr>
              <w:t>ultrafine powders (</w:t>
            </w:r>
            <w:proofErr w:type="gramStart"/>
            <w:r w:rsidRPr="00B85A1F">
              <w:rPr>
                <w:rFonts w:eastAsiaTheme="minorHAnsi" w:cs="Arial"/>
                <w:sz w:val="20"/>
                <w:szCs w:val="20"/>
              </w:rPr>
              <w:t>e.g.</w:t>
            </w:r>
            <w:proofErr w:type="gramEnd"/>
            <w:r w:rsidRPr="00B85A1F">
              <w:rPr>
                <w:rFonts w:eastAsiaTheme="minorHAnsi" w:cs="Arial"/>
                <w:sz w:val="20"/>
                <w:szCs w:val="20"/>
              </w:rPr>
              <w:t xml:space="preserve"> Ag, Au, </w:t>
            </w:r>
            <w:proofErr w:type="spellStart"/>
            <w:r w:rsidRPr="00B85A1F">
              <w:rPr>
                <w:rFonts w:eastAsiaTheme="minorHAnsi" w:cs="Arial"/>
                <w:sz w:val="20"/>
                <w:szCs w:val="20"/>
              </w:rPr>
              <w:t>ZnO</w:t>
            </w:r>
            <w:proofErr w:type="spellEnd"/>
            <w:r w:rsidRPr="00B85A1F">
              <w:rPr>
                <w:rFonts w:eastAsiaTheme="minorHAnsi" w:cs="Arial"/>
                <w:sz w:val="20"/>
                <w:szCs w:val="20"/>
              </w:rPr>
              <w:t xml:space="preserve">, TiO2, </w:t>
            </w:r>
            <w:proofErr w:type="spellStart"/>
            <w:r w:rsidRPr="00B85A1F">
              <w:rPr>
                <w:rFonts w:eastAsiaTheme="minorHAnsi" w:cs="Arial"/>
                <w:sz w:val="20"/>
                <w:szCs w:val="20"/>
              </w:rPr>
              <w:t>CeO</w:t>
            </w:r>
            <w:proofErr w:type="spellEnd"/>
            <w:r w:rsidRPr="00B85A1F">
              <w:rPr>
                <w:rFonts w:eastAsiaTheme="minorHAnsi" w:cs="Arial"/>
                <w:sz w:val="20"/>
                <w:szCs w:val="20"/>
              </w:rPr>
              <w:t>)</w:t>
            </w:r>
          </w:p>
        </w:tc>
      </w:tr>
      <w:tr w:rsidR="0059373B" w14:paraId="61821BA8" w14:textId="77777777" w:rsidTr="00A943AA">
        <w:tc>
          <w:tcPr>
            <w:tcW w:w="1678" w:type="dxa"/>
          </w:tcPr>
          <w:p w14:paraId="61821BA5" w14:textId="77777777" w:rsidR="00A606C5" w:rsidRPr="00B85A1F" w:rsidRDefault="00E9069F" w:rsidP="00A606C5">
            <w:pPr>
              <w:keepLines w:val="0"/>
              <w:spacing w:before="0" w:after="120"/>
              <w:rPr>
                <w:rFonts w:eastAsiaTheme="minorHAnsi" w:cs="Arial"/>
                <w:sz w:val="20"/>
                <w:szCs w:val="20"/>
              </w:rPr>
            </w:pPr>
            <w:r w:rsidRPr="00B85A1F">
              <w:rPr>
                <w:rFonts w:eastAsiaTheme="minorHAnsi" w:cs="Arial"/>
                <w:sz w:val="20"/>
                <w:szCs w:val="20"/>
              </w:rPr>
              <w:t>Carbon black</w:t>
            </w:r>
          </w:p>
        </w:tc>
        <w:tc>
          <w:tcPr>
            <w:tcW w:w="5518" w:type="dxa"/>
          </w:tcPr>
          <w:p w14:paraId="61821BA6" w14:textId="77777777" w:rsidR="00A606C5" w:rsidRPr="00B85A1F" w:rsidRDefault="00E9069F" w:rsidP="00A606C5">
            <w:pPr>
              <w:keepLines w:val="0"/>
              <w:spacing w:before="0" w:after="120"/>
              <w:rPr>
                <w:rFonts w:eastAsiaTheme="minorHAnsi" w:cs="Arial"/>
                <w:sz w:val="20"/>
                <w:szCs w:val="20"/>
              </w:rPr>
            </w:pPr>
            <w:r w:rsidRPr="00B85A1F">
              <w:rPr>
                <w:rFonts w:eastAsiaTheme="minorHAnsi" w:cs="Arial"/>
                <w:sz w:val="20"/>
                <w:szCs w:val="20"/>
              </w:rPr>
              <w:t xml:space="preserve">Carbon black is virtually pure elemental carbon in the form of particles that are produced by incomplete combustion or thermal decomposition of gaseous or liquid hydrocarbons under controlled conditions. Its physical appearance is that of a black, finely divided powder or pellet. Its use in tyres, rubber and plastic products, printing inks and coatings is related to properties of specific surface area, particle size and structure, </w:t>
            </w:r>
            <w:proofErr w:type="gramStart"/>
            <w:r w:rsidRPr="00B85A1F">
              <w:rPr>
                <w:rFonts w:eastAsiaTheme="minorHAnsi" w:cs="Arial"/>
                <w:sz w:val="20"/>
                <w:szCs w:val="20"/>
              </w:rPr>
              <w:t>conductivity</w:t>
            </w:r>
            <w:proofErr w:type="gramEnd"/>
            <w:r w:rsidRPr="00B85A1F">
              <w:rPr>
                <w:rFonts w:eastAsiaTheme="minorHAnsi" w:cs="Arial"/>
                <w:sz w:val="20"/>
                <w:szCs w:val="20"/>
              </w:rPr>
              <w:t xml:space="preserve"> and colour. The primary particle size of carbon black is most commonly less than 100 nm, but commercial forms are aggregated, typically with dimensions greater than 100 nm. Carbon black is one of the top 50 industrial chemicals manufactured worldwide, based on annual tonnage.</w:t>
            </w:r>
          </w:p>
        </w:tc>
        <w:tc>
          <w:tcPr>
            <w:tcW w:w="2046" w:type="dxa"/>
          </w:tcPr>
          <w:p w14:paraId="61821BA7" w14:textId="77777777" w:rsidR="00A606C5" w:rsidRPr="00B85A1F" w:rsidRDefault="00A606C5" w:rsidP="00A606C5">
            <w:pPr>
              <w:keepLines w:val="0"/>
              <w:spacing w:before="0" w:after="120"/>
              <w:jc w:val="left"/>
              <w:rPr>
                <w:rFonts w:eastAsiaTheme="minorHAnsi" w:cs="Arial"/>
                <w:sz w:val="20"/>
                <w:szCs w:val="20"/>
              </w:rPr>
            </w:pPr>
          </w:p>
        </w:tc>
      </w:tr>
      <w:tr w:rsidR="0059373B" w14:paraId="61821BAC" w14:textId="77777777" w:rsidTr="00A943AA">
        <w:tc>
          <w:tcPr>
            <w:tcW w:w="1678" w:type="dxa"/>
          </w:tcPr>
          <w:p w14:paraId="61821BA9" w14:textId="77777777" w:rsidR="00A606C5" w:rsidRPr="00B85A1F" w:rsidRDefault="00E9069F" w:rsidP="00A606C5">
            <w:pPr>
              <w:keepLines w:val="0"/>
              <w:spacing w:before="0" w:after="120"/>
              <w:rPr>
                <w:rFonts w:eastAsiaTheme="minorHAnsi" w:cs="Arial"/>
                <w:sz w:val="20"/>
                <w:szCs w:val="20"/>
              </w:rPr>
            </w:pPr>
            <w:r w:rsidRPr="00B85A1F">
              <w:rPr>
                <w:rFonts w:eastAsiaTheme="minorHAnsi" w:cs="Arial"/>
                <w:sz w:val="20"/>
                <w:szCs w:val="20"/>
              </w:rPr>
              <w:t>Dendrimers</w:t>
            </w:r>
          </w:p>
        </w:tc>
        <w:tc>
          <w:tcPr>
            <w:tcW w:w="5518" w:type="dxa"/>
          </w:tcPr>
          <w:p w14:paraId="61821BAA" w14:textId="77777777" w:rsidR="00A606C5" w:rsidRPr="00B85A1F" w:rsidRDefault="00E9069F" w:rsidP="00A606C5">
            <w:pPr>
              <w:keepLines w:val="0"/>
              <w:spacing w:before="0" w:after="120"/>
              <w:rPr>
                <w:rFonts w:eastAsiaTheme="minorHAnsi" w:cs="Arial"/>
                <w:sz w:val="20"/>
                <w:szCs w:val="20"/>
              </w:rPr>
            </w:pPr>
            <w:r w:rsidRPr="00B85A1F">
              <w:rPr>
                <w:rFonts w:eastAsiaTheme="minorHAnsi" w:cs="Arial"/>
                <w:sz w:val="20"/>
                <w:szCs w:val="20"/>
              </w:rPr>
              <w:t xml:space="preserve">Dendrimers are polymer particles in which the atoms are arranged in a branching structure, usually symmetrically about a core. Dendrimers are typically </w:t>
            </w:r>
            <w:proofErr w:type="gramStart"/>
            <w:r w:rsidRPr="00B85A1F">
              <w:rPr>
                <w:rFonts w:eastAsiaTheme="minorHAnsi" w:cs="Arial"/>
                <w:sz w:val="20"/>
                <w:szCs w:val="20"/>
              </w:rPr>
              <w:t>monodisperse</w:t>
            </w:r>
            <w:proofErr w:type="gramEnd"/>
            <w:r w:rsidRPr="00B85A1F">
              <w:rPr>
                <w:rFonts w:eastAsiaTheme="minorHAnsi" w:cs="Arial"/>
                <w:sz w:val="20"/>
                <w:szCs w:val="20"/>
              </w:rPr>
              <w:t xml:space="preserve"> with a </w:t>
            </w:r>
            <w:r w:rsidRPr="00B85A1F">
              <w:rPr>
                <w:rFonts w:eastAsiaTheme="minorHAnsi" w:cs="Arial"/>
                <w:sz w:val="20"/>
                <w:szCs w:val="20"/>
              </w:rPr>
              <w:lastRenderedPageBreak/>
              <w:t xml:space="preserve">large number of </w:t>
            </w:r>
            <w:proofErr w:type="spellStart"/>
            <w:r w:rsidRPr="00B85A1F">
              <w:rPr>
                <w:rFonts w:eastAsiaTheme="minorHAnsi" w:cs="Arial"/>
                <w:sz w:val="20"/>
                <w:szCs w:val="20"/>
              </w:rPr>
              <w:t>functionalizable</w:t>
            </w:r>
            <w:proofErr w:type="spellEnd"/>
            <w:r w:rsidRPr="00B85A1F">
              <w:rPr>
                <w:rFonts w:eastAsiaTheme="minorHAnsi" w:cs="Arial"/>
                <w:sz w:val="20"/>
                <w:szCs w:val="20"/>
              </w:rPr>
              <w:t xml:space="preserve"> peripheral groups. They are currently being evaluated as drug delivery vehicles.</w:t>
            </w:r>
          </w:p>
        </w:tc>
        <w:tc>
          <w:tcPr>
            <w:tcW w:w="2046" w:type="dxa"/>
          </w:tcPr>
          <w:p w14:paraId="61821BAB" w14:textId="77777777" w:rsidR="00A606C5" w:rsidRPr="00B85A1F" w:rsidRDefault="00A606C5" w:rsidP="00A606C5">
            <w:pPr>
              <w:keepLines w:val="0"/>
              <w:spacing w:before="0" w:after="120"/>
              <w:jc w:val="left"/>
              <w:rPr>
                <w:rFonts w:eastAsiaTheme="minorHAnsi" w:cs="Arial"/>
                <w:sz w:val="20"/>
                <w:szCs w:val="20"/>
              </w:rPr>
            </w:pPr>
          </w:p>
        </w:tc>
      </w:tr>
      <w:tr w:rsidR="0059373B" w14:paraId="61821BB0" w14:textId="77777777" w:rsidTr="00A943AA">
        <w:tc>
          <w:tcPr>
            <w:tcW w:w="1678" w:type="dxa"/>
          </w:tcPr>
          <w:p w14:paraId="61821BAD" w14:textId="77777777" w:rsidR="00A606C5" w:rsidRPr="00B85A1F" w:rsidRDefault="00E9069F" w:rsidP="00A606C5">
            <w:pPr>
              <w:keepLines w:val="0"/>
              <w:spacing w:before="0" w:after="120"/>
              <w:rPr>
                <w:rFonts w:eastAsiaTheme="minorHAnsi" w:cs="Arial"/>
                <w:sz w:val="20"/>
                <w:szCs w:val="20"/>
              </w:rPr>
            </w:pPr>
            <w:proofErr w:type="spellStart"/>
            <w:r w:rsidRPr="00B85A1F">
              <w:rPr>
                <w:rFonts w:eastAsiaTheme="minorHAnsi" w:cs="Arial"/>
                <w:sz w:val="20"/>
                <w:szCs w:val="20"/>
              </w:rPr>
              <w:t>Nanoclays</w:t>
            </w:r>
            <w:proofErr w:type="spellEnd"/>
          </w:p>
        </w:tc>
        <w:tc>
          <w:tcPr>
            <w:tcW w:w="5518" w:type="dxa"/>
          </w:tcPr>
          <w:p w14:paraId="61821BAE" w14:textId="77777777" w:rsidR="00A606C5" w:rsidRPr="00B85A1F" w:rsidRDefault="00E9069F" w:rsidP="00A606C5">
            <w:pPr>
              <w:keepLines w:val="0"/>
              <w:spacing w:before="0" w:after="120"/>
              <w:rPr>
                <w:rFonts w:eastAsiaTheme="minorHAnsi" w:cs="Arial"/>
                <w:sz w:val="20"/>
                <w:szCs w:val="20"/>
              </w:rPr>
            </w:pPr>
            <w:proofErr w:type="spellStart"/>
            <w:r w:rsidRPr="00B85A1F">
              <w:rPr>
                <w:rFonts w:eastAsiaTheme="minorHAnsi" w:cs="Arial"/>
                <w:sz w:val="20"/>
                <w:szCs w:val="20"/>
              </w:rPr>
              <w:t>Nanoclays</w:t>
            </w:r>
            <w:proofErr w:type="spellEnd"/>
            <w:r w:rsidRPr="00B85A1F">
              <w:rPr>
                <w:rFonts w:eastAsiaTheme="minorHAnsi" w:cs="Arial"/>
                <w:sz w:val="20"/>
                <w:szCs w:val="20"/>
              </w:rPr>
              <w:t xml:space="preserve"> are ceramic nanoparticles of layered mineral silicates. </w:t>
            </w:r>
            <w:proofErr w:type="spellStart"/>
            <w:r w:rsidRPr="00B85A1F">
              <w:rPr>
                <w:rFonts w:eastAsiaTheme="minorHAnsi" w:cs="Arial"/>
                <w:sz w:val="20"/>
                <w:szCs w:val="20"/>
              </w:rPr>
              <w:t>Nanoclays</w:t>
            </w:r>
            <w:proofErr w:type="spellEnd"/>
            <w:r w:rsidRPr="00B85A1F">
              <w:rPr>
                <w:rFonts w:eastAsiaTheme="minorHAnsi" w:cs="Arial"/>
                <w:sz w:val="20"/>
                <w:szCs w:val="20"/>
              </w:rPr>
              <w:t xml:space="preserve"> can be naturally occurring or engineered to have specific properties. Naturally occurring forms include several classes such as: montmorillonite, bentonite, kaolinite, hectorite, and halloysite. </w:t>
            </w:r>
            <w:proofErr w:type="spellStart"/>
            <w:r w:rsidRPr="00B85A1F">
              <w:rPr>
                <w:rFonts w:eastAsiaTheme="minorHAnsi" w:cs="Arial"/>
                <w:sz w:val="20"/>
                <w:szCs w:val="20"/>
              </w:rPr>
              <w:t>Nanoclays</w:t>
            </w:r>
            <w:proofErr w:type="spellEnd"/>
            <w:r w:rsidRPr="00B85A1F">
              <w:rPr>
                <w:rFonts w:eastAsiaTheme="minorHAnsi" w:cs="Arial"/>
                <w:sz w:val="20"/>
                <w:szCs w:val="20"/>
              </w:rPr>
              <w:t xml:space="preserve"> also include organo-clays, </w:t>
            </w:r>
            <w:proofErr w:type="gramStart"/>
            <w:r w:rsidRPr="00B85A1F">
              <w:rPr>
                <w:rFonts w:eastAsiaTheme="minorHAnsi" w:cs="Arial"/>
                <w:sz w:val="20"/>
                <w:szCs w:val="20"/>
              </w:rPr>
              <w:t>i.e.</w:t>
            </w:r>
            <w:proofErr w:type="gramEnd"/>
            <w:r w:rsidRPr="00B85A1F">
              <w:rPr>
                <w:rFonts w:eastAsiaTheme="minorHAnsi" w:cs="Arial"/>
                <w:sz w:val="20"/>
                <w:szCs w:val="20"/>
              </w:rPr>
              <w:t xml:space="preserve"> clays that have been subjected to cat-ion exchange, typically with large organic molecules, which partially or completely de-laminates the primary sheets.</w:t>
            </w:r>
          </w:p>
        </w:tc>
        <w:tc>
          <w:tcPr>
            <w:tcW w:w="2046" w:type="dxa"/>
          </w:tcPr>
          <w:p w14:paraId="61821BAF" w14:textId="77777777" w:rsidR="00A606C5" w:rsidRPr="00B85A1F" w:rsidRDefault="00A606C5" w:rsidP="00A606C5">
            <w:pPr>
              <w:keepLines w:val="0"/>
              <w:spacing w:before="0" w:after="120"/>
              <w:jc w:val="left"/>
              <w:rPr>
                <w:rFonts w:eastAsiaTheme="minorHAnsi" w:cs="Arial"/>
                <w:sz w:val="20"/>
                <w:szCs w:val="20"/>
              </w:rPr>
            </w:pPr>
          </w:p>
        </w:tc>
      </w:tr>
    </w:tbl>
    <w:p w14:paraId="61821BB2" w14:textId="3E66D8DB" w:rsidR="00423AA3" w:rsidRPr="006C53F9" w:rsidRDefault="00E9069F" w:rsidP="005E44A4">
      <w:pPr>
        <w:pStyle w:val="Heading2"/>
      </w:pPr>
      <w:bookmarkStart w:id="308" w:name="_Toc19005575"/>
      <w:bookmarkStart w:id="309" w:name="_Toc101439014"/>
      <w:r>
        <w:t>1</w:t>
      </w:r>
      <w:r w:rsidR="00AF6B8C">
        <w:t>7</w:t>
      </w:r>
      <w:r>
        <w:t>.4   Potential Hazards</w:t>
      </w:r>
      <w:bookmarkEnd w:id="308"/>
      <w:bookmarkEnd w:id="309"/>
    </w:p>
    <w:p w14:paraId="61821BB3" w14:textId="77777777" w:rsidR="00423AA3" w:rsidRDefault="00E9069F" w:rsidP="00B85A1F">
      <w:pPr>
        <w:rPr>
          <w:rFonts w:eastAsiaTheme="minorHAnsi"/>
          <w:lang w:eastAsia="en-US"/>
        </w:rPr>
      </w:pPr>
      <w:r>
        <w:rPr>
          <w:rFonts w:eastAsiaTheme="minorHAnsi"/>
          <w:lang w:eastAsia="en-US"/>
        </w:rPr>
        <w:t>There</w:t>
      </w:r>
      <w:r w:rsidRPr="00A943AA">
        <w:rPr>
          <w:rFonts w:eastAsiaTheme="minorHAnsi"/>
          <w:lang w:eastAsia="en-US"/>
        </w:rPr>
        <w:t xml:space="preserve"> are specific issues associated </w:t>
      </w:r>
      <w:r>
        <w:rPr>
          <w:rFonts w:eastAsiaTheme="minorHAnsi"/>
          <w:lang w:eastAsia="en-US"/>
        </w:rPr>
        <w:t xml:space="preserve">that should be considered as part of the planning and risk assessment of work involving nanomaterials. </w:t>
      </w:r>
      <w:r w:rsidRPr="00F75683">
        <w:rPr>
          <w:lang w:eastAsia="en-US"/>
        </w:rPr>
        <w:t>Nanomaterials are generally considered more hazardous than their larger form counterparts</w:t>
      </w:r>
      <w:r>
        <w:rPr>
          <w:rFonts w:eastAsiaTheme="minorHAnsi"/>
          <w:lang w:eastAsia="en-US"/>
        </w:rPr>
        <w:t xml:space="preserve"> because of the potential for nanomaterials to express property changes such as increased flammability and reactivity, from their larger counterparts and the potential of some nanomaterials to form explosive dust clouds.</w:t>
      </w:r>
      <w:r w:rsidRPr="00B0792C">
        <w:rPr>
          <w:rFonts w:eastAsiaTheme="minorHAnsi"/>
          <w:lang w:eastAsia="en-US"/>
        </w:rPr>
        <w:t xml:space="preserve"> In addition</w:t>
      </w:r>
      <w:r>
        <w:rPr>
          <w:rFonts w:eastAsiaTheme="minorHAnsi"/>
          <w:lang w:eastAsia="en-US"/>
        </w:rPr>
        <w:t xml:space="preserve"> </w:t>
      </w:r>
      <w:proofErr w:type="gramStart"/>
      <w:r>
        <w:rPr>
          <w:rFonts w:eastAsiaTheme="minorHAnsi"/>
          <w:lang w:eastAsia="en-US"/>
        </w:rPr>
        <w:t xml:space="preserve">to </w:t>
      </w:r>
      <w:r w:rsidRPr="00B0792C">
        <w:rPr>
          <w:rFonts w:eastAsiaTheme="minorHAnsi"/>
          <w:lang w:eastAsia="en-US"/>
        </w:rPr>
        <w:t xml:space="preserve"> </w:t>
      </w:r>
      <w:r>
        <w:rPr>
          <w:rFonts w:eastAsiaTheme="minorHAnsi"/>
          <w:lang w:eastAsia="en-US"/>
        </w:rPr>
        <w:t>this</w:t>
      </w:r>
      <w:proofErr w:type="gramEnd"/>
      <w:r>
        <w:rPr>
          <w:rFonts w:eastAsiaTheme="minorHAnsi"/>
          <w:lang w:eastAsia="en-US"/>
        </w:rPr>
        <w:t>, increased</w:t>
      </w:r>
      <w:r w:rsidRPr="00B0792C">
        <w:rPr>
          <w:rFonts w:eastAsiaTheme="minorHAnsi"/>
          <w:lang w:eastAsia="en-US"/>
        </w:rPr>
        <w:t xml:space="preserve"> particle number and combined surface area, other particle characteristics might influence the biological response, including solubility, shape, charge and surface chemistry, catalytic properties, adsorbed pollutants (e.g. heavy metals or endotoxins), as well as degree of agglomeration. </w:t>
      </w:r>
    </w:p>
    <w:p w14:paraId="61821BB4" w14:textId="37C06C0D" w:rsidR="00423AA3" w:rsidRDefault="00FD1A01" w:rsidP="005E44A4">
      <w:pPr>
        <w:pStyle w:val="Heading2"/>
      </w:pPr>
      <w:bookmarkStart w:id="310" w:name="_Toc19005576"/>
      <w:bookmarkStart w:id="311" w:name="_Toc101439015"/>
      <w:r>
        <w:t>1</w:t>
      </w:r>
      <w:r w:rsidR="00AF6B8C">
        <w:t>7</w:t>
      </w:r>
      <w:r w:rsidR="00E9069F">
        <w:t xml:space="preserve">.5   </w:t>
      </w:r>
      <w:r w:rsidR="003023D2">
        <w:t>SDSs</w:t>
      </w:r>
      <w:r w:rsidR="00B17271">
        <w:t xml:space="preserve"> and </w:t>
      </w:r>
      <w:r w:rsidR="004816D4">
        <w:t>Control Banding</w:t>
      </w:r>
      <w:r w:rsidR="00B17271">
        <w:t xml:space="preserve"> for risk assessment.</w:t>
      </w:r>
      <w:bookmarkEnd w:id="310"/>
      <w:bookmarkEnd w:id="311"/>
    </w:p>
    <w:p w14:paraId="61821BB5" w14:textId="67195887" w:rsidR="00C05BCB" w:rsidRDefault="00E9069F" w:rsidP="00B85A1F">
      <w:pPr>
        <w:rPr>
          <w:rFonts w:eastAsiaTheme="minorHAnsi"/>
          <w:lang w:eastAsia="en-US"/>
        </w:rPr>
      </w:pPr>
      <w:r>
        <w:rPr>
          <w:rFonts w:eastAsiaTheme="minorHAnsi"/>
          <w:lang w:eastAsia="en-US"/>
        </w:rPr>
        <w:t>As nanotechnology is an emerging field</w:t>
      </w:r>
      <w:r w:rsidR="004816D4">
        <w:rPr>
          <w:rFonts w:eastAsiaTheme="minorHAnsi"/>
          <w:lang w:eastAsia="en-US"/>
        </w:rPr>
        <w:t xml:space="preserve"> and the reasons described above</w:t>
      </w:r>
      <w:r>
        <w:rPr>
          <w:rFonts w:eastAsiaTheme="minorHAnsi"/>
          <w:lang w:eastAsia="en-US"/>
        </w:rPr>
        <w:t>,</w:t>
      </w:r>
      <w:r>
        <w:rPr>
          <w:lang w:eastAsia="en-US"/>
        </w:rPr>
        <w:t xml:space="preserve"> </w:t>
      </w:r>
      <w:r w:rsidR="003023D2">
        <w:rPr>
          <w:rFonts w:eastAsiaTheme="minorHAnsi"/>
          <w:lang w:eastAsia="en-US"/>
        </w:rPr>
        <w:t>SDSs</w:t>
      </w:r>
      <w:r>
        <w:rPr>
          <w:rFonts w:eastAsiaTheme="minorHAnsi"/>
          <w:lang w:eastAsia="en-US"/>
        </w:rPr>
        <w:t xml:space="preserve"> for nanomaterials may not adequately cover all the hazards of these materials. Due to this, research has been undertaken into what standard controls would be suitable for working with nanomaterials to reduce exposure. It has been shown that existing controls utilised for dusty processes are effective controls for use with nanomaterials.  </w:t>
      </w:r>
      <w:r w:rsidR="00B61AEB">
        <w:rPr>
          <w:rFonts w:eastAsiaTheme="minorHAnsi"/>
          <w:lang w:eastAsia="en-US"/>
        </w:rPr>
        <w:t>From</w:t>
      </w:r>
      <w:r>
        <w:rPr>
          <w:rFonts w:eastAsiaTheme="minorHAnsi"/>
          <w:lang w:eastAsia="en-US"/>
        </w:rPr>
        <w:t xml:space="preserve"> this research a principle of cont</w:t>
      </w:r>
      <w:r w:rsidR="00B61AEB">
        <w:rPr>
          <w:rFonts w:eastAsiaTheme="minorHAnsi"/>
          <w:lang w:eastAsia="en-US"/>
        </w:rPr>
        <w:t xml:space="preserve">rol banding has been developed, which is </w:t>
      </w:r>
      <w:r>
        <w:rPr>
          <w:rFonts w:eastAsiaTheme="minorHAnsi"/>
          <w:lang w:eastAsia="en-US"/>
        </w:rPr>
        <w:t xml:space="preserve">based on an evaluation of the known health </w:t>
      </w:r>
      <w:r w:rsidR="00B61AEB">
        <w:rPr>
          <w:rFonts w:eastAsiaTheme="minorHAnsi"/>
          <w:lang w:eastAsia="en-US"/>
        </w:rPr>
        <w:t xml:space="preserve">risks </w:t>
      </w:r>
      <w:r>
        <w:rPr>
          <w:rFonts w:eastAsiaTheme="minorHAnsi"/>
          <w:lang w:eastAsia="en-US"/>
        </w:rPr>
        <w:t>of the nanomaterial product and the potential exposure identify an appropriate control band.</w:t>
      </w:r>
      <w:r w:rsidR="00B61AEB">
        <w:rPr>
          <w:rFonts w:eastAsiaTheme="minorHAnsi"/>
          <w:lang w:eastAsia="en-US"/>
        </w:rPr>
        <w:t xml:space="preserve"> When undertaking </w:t>
      </w:r>
      <w:r w:rsidR="00FB023F">
        <w:rPr>
          <w:rFonts w:eastAsiaTheme="minorHAnsi"/>
          <w:lang w:eastAsia="en-US"/>
        </w:rPr>
        <w:t xml:space="preserve">a risk assessment for work involving nanomaterials, </w:t>
      </w:r>
      <w:r w:rsidR="00B61AEB">
        <w:rPr>
          <w:rFonts w:eastAsiaTheme="minorHAnsi"/>
          <w:lang w:eastAsia="en-US"/>
        </w:rPr>
        <w:t>specialist advice</w:t>
      </w:r>
      <w:r w:rsidR="00B61AEB" w:rsidRPr="00B61AEB">
        <w:rPr>
          <w:rFonts w:eastAsiaTheme="minorHAnsi"/>
          <w:lang w:eastAsia="en-US"/>
        </w:rPr>
        <w:t xml:space="preserve"> </w:t>
      </w:r>
      <w:r w:rsidR="00B61AEB">
        <w:rPr>
          <w:rFonts w:eastAsiaTheme="minorHAnsi"/>
          <w:lang w:eastAsia="en-US"/>
        </w:rPr>
        <w:t>may be required</w:t>
      </w:r>
      <w:r w:rsidR="00B17271">
        <w:rPr>
          <w:rFonts w:eastAsiaTheme="minorHAnsi"/>
          <w:lang w:eastAsia="en-US"/>
        </w:rPr>
        <w:t xml:space="preserve"> to identify the appropriate control band.</w:t>
      </w:r>
    </w:p>
    <w:p w14:paraId="61821BB6" w14:textId="77777777" w:rsidR="00B61AEB" w:rsidRDefault="00B61AEB" w:rsidP="00C05BCB">
      <w:pPr>
        <w:rPr>
          <w:rFonts w:asciiTheme="minorHAnsi" w:eastAsiaTheme="minorHAnsi" w:hAnsiTheme="minorHAnsi" w:cstheme="minorBidi"/>
          <w:sz w:val="22"/>
          <w:szCs w:val="22"/>
          <w:lang w:eastAsia="en-US"/>
        </w:rPr>
      </w:pPr>
    </w:p>
    <w:p w14:paraId="61821BB7" w14:textId="77777777" w:rsidR="0084332B" w:rsidRPr="00B85A1F" w:rsidRDefault="00E9069F" w:rsidP="0084332B">
      <w:pPr>
        <w:keepLines w:val="0"/>
        <w:spacing w:before="0" w:after="200" w:line="276" w:lineRule="auto"/>
        <w:jc w:val="left"/>
        <w:rPr>
          <w:rFonts w:eastAsiaTheme="minorHAnsi" w:cs="Arial"/>
          <w:lang w:eastAsia="en-US"/>
        </w:rPr>
      </w:pPr>
      <w:r w:rsidRPr="00B85A1F">
        <w:rPr>
          <w:rFonts w:eastAsiaTheme="minorHAnsi" w:cs="Arial"/>
          <w:lang w:eastAsia="en-US"/>
        </w:rPr>
        <w:t xml:space="preserve">Conceptually, the five control </w:t>
      </w:r>
      <w:r w:rsidR="00B17271" w:rsidRPr="00B85A1F">
        <w:rPr>
          <w:rFonts w:eastAsiaTheme="minorHAnsi" w:cs="Arial"/>
          <w:lang w:eastAsia="en-US"/>
        </w:rPr>
        <w:t>band levels</w:t>
      </w:r>
      <w:r w:rsidRPr="00B85A1F">
        <w:rPr>
          <w:rFonts w:eastAsiaTheme="minorHAnsi" w:cs="Arial"/>
          <w:lang w:eastAsia="en-US"/>
        </w:rPr>
        <w:t xml:space="preserve"> detailed in the </w:t>
      </w:r>
      <w:r w:rsidRPr="00DE7447">
        <w:rPr>
          <w:rFonts w:eastAsiaTheme="minorHAnsi" w:cs="Arial"/>
          <w:lang w:eastAsia="en-US"/>
        </w:rPr>
        <w:t>ISO Standard</w:t>
      </w:r>
      <w:r w:rsidR="00FB023F" w:rsidRPr="00B85A1F">
        <w:rPr>
          <w:rFonts w:eastAsiaTheme="minorHAnsi" w:cs="Arial"/>
          <w:lang w:eastAsia="en-US"/>
        </w:rPr>
        <w:t xml:space="preserve"> </w:t>
      </w:r>
      <w:r w:rsidRPr="00B85A1F">
        <w:rPr>
          <w:rFonts w:eastAsiaTheme="minorHAnsi" w:cs="Arial"/>
          <w:lang w:eastAsia="en-US"/>
        </w:rPr>
        <w:t>consist of:</w:t>
      </w:r>
    </w:p>
    <w:p w14:paraId="61821BB8" w14:textId="77777777" w:rsidR="0084332B" w:rsidRPr="00B85A1F" w:rsidRDefault="00E9069F" w:rsidP="00D62420">
      <w:pPr>
        <w:keepLines w:val="0"/>
        <w:numPr>
          <w:ilvl w:val="0"/>
          <w:numId w:val="10"/>
        </w:numPr>
        <w:spacing w:before="0" w:after="200" w:line="276" w:lineRule="auto"/>
        <w:contextualSpacing/>
        <w:jc w:val="left"/>
        <w:rPr>
          <w:rFonts w:eastAsiaTheme="minorHAnsi" w:cs="Arial"/>
          <w:lang w:eastAsia="en-US"/>
        </w:rPr>
      </w:pPr>
      <w:r w:rsidRPr="00B85A1F">
        <w:rPr>
          <w:rFonts w:eastAsiaTheme="minorHAnsi" w:cs="Arial"/>
          <w:lang w:eastAsia="en-US"/>
        </w:rPr>
        <w:t>CB 1: Natural or mechanical general ventilation</w:t>
      </w:r>
    </w:p>
    <w:p w14:paraId="61821BB9" w14:textId="77777777" w:rsidR="0084332B" w:rsidRPr="00B85A1F" w:rsidRDefault="00E9069F" w:rsidP="00D62420">
      <w:pPr>
        <w:keepLines w:val="0"/>
        <w:numPr>
          <w:ilvl w:val="0"/>
          <w:numId w:val="10"/>
        </w:numPr>
        <w:spacing w:before="0" w:after="200" w:line="276" w:lineRule="auto"/>
        <w:contextualSpacing/>
        <w:jc w:val="left"/>
        <w:rPr>
          <w:rFonts w:eastAsiaTheme="minorHAnsi" w:cs="Arial"/>
          <w:lang w:eastAsia="en-US"/>
        </w:rPr>
      </w:pPr>
      <w:r w:rsidRPr="00B85A1F">
        <w:rPr>
          <w:rFonts w:eastAsiaTheme="minorHAnsi" w:cs="Arial"/>
          <w:lang w:eastAsia="en-US"/>
        </w:rPr>
        <w:t>CB 2: Local ventilation: extractor hood, slot hood, arm hood, table hood, etc.</w:t>
      </w:r>
    </w:p>
    <w:p w14:paraId="61821BBA" w14:textId="77777777" w:rsidR="0084332B" w:rsidRPr="00B85A1F" w:rsidRDefault="00E9069F" w:rsidP="00D62420">
      <w:pPr>
        <w:keepLines w:val="0"/>
        <w:numPr>
          <w:ilvl w:val="0"/>
          <w:numId w:val="10"/>
        </w:numPr>
        <w:spacing w:before="0" w:after="200" w:line="276" w:lineRule="auto"/>
        <w:contextualSpacing/>
        <w:jc w:val="left"/>
        <w:rPr>
          <w:rFonts w:eastAsiaTheme="minorHAnsi" w:cs="Arial"/>
          <w:lang w:eastAsia="en-US"/>
        </w:rPr>
      </w:pPr>
      <w:r w:rsidRPr="00B85A1F">
        <w:rPr>
          <w:rFonts w:eastAsiaTheme="minorHAnsi" w:cs="Arial"/>
          <w:lang w:eastAsia="en-US"/>
        </w:rPr>
        <w:t>CB 3: Enclosed ventilation: ventilated booth, fume hood, closed reactor with regular opening</w:t>
      </w:r>
    </w:p>
    <w:p w14:paraId="61821BBB" w14:textId="77777777" w:rsidR="0084332B" w:rsidRPr="00B85A1F" w:rsidRDefault="00E9069F" w:rsidP="00D62420">
      <w:pPr>
        <w:keepLines w:val="0"/>
        <w:numPr>
          <w:ilvl w:val="0"/>
          <w:numId w:val="10"/>
        </w:numPr>
        <w:spacing w:before="0" w:after="200" w:line="276" w:lineRule="auto"/>
        <w:contextualSpacing/>
        <w:jc w:val="left"/>
        <w:rPr>
          <w:rFonts w:eastAsiaTheme="minorHAnsi" w:cs="Arial"/>
          <w:lang w:eastAsia="en-US"/>
        </w:rPr>
      </w:pPr>
      <w:r w:rsidRPr="00B85A1F">
        <w:rPr>
          <w:rFonts w:eastAsiaTheme="minorHAnsi" w:cs="Arial"/>
          <w:lang w:eastAsia="en-US"/>
        </w:rPr>
        <w:t>CB 4: Full containment: glove box/bags, continuously closed systems</w:t>
      </w:r>
    </w:p>
    <w:p w14:paraId="61821BBC" w14:textId="77777777" w:rsidR="0084332B" w:rsidRPr="00B85A1F" w:rsidRDefault="00E9069F" w:rsidP="00D62420">
      <w:pPr>
        <w:keepLines w:val="0"/>
        <w:numPr>
          <w:ilvl w:val="0"/>
          <w:numId w:val="10"/>
        </w:numPr>
        <w:spacing w:before="0" w:after="200" w:line="276" w:lineRule="auto"/>
        <w:contextualSpacing/>
        <w:jc w:val="left"/>
        <w:rPr>
          <w:rFonts w:eastAsiaTheme="minorHAnsi" w:cs="Arial"/>
          <w:lang w:eastAsia="en-US"/>
        </w:rPr>
      </w:pPr>
      <w:r w:rsidRPr="00B85A1F">
        <w:rPr>
          <w:rFonts w:eastAsiaTheme="minorHAnsi" w:cs="Arial"/>
          <w:lang w:eastAsia="en-US"/>
        </w:rPr>
        <w:t>CB 5: Full containment and review by a specialist: seek expert advice</w:t>
      </w:r>
    </w:p>
    <w:p w14:paraId="61821BBD" w14:textId="77777777" w:rsidR="00C05BCB" w:rsidRPr="00C05BCB" w:rsidRDefault="00C05BCB" w:rsidP="00C05BCB">
      <w:pPr>
        <w:keepLines w:val="0"/>
        <w:spacing w:before="0" w:after="200"/>
        <w:rPr>
          <w:rFonts w:asciiTheme="minorHAnsi" w:eastAsiaTheme="minorHAnsi" w:hAnsiTheme="minorHAnsi" w:cstheme="minorBidi"/>
          <w:noProof/>
          <w:sz w:val="22"/>
          <w:szCs w:val="22"/>
        </w:rPr>
      </w:pPr>
    </w:p>
    <w:p w14:paraId="61821BBE" w14:textId="52662D2D" w:rsidR="00372552" w:rsidRPr="00540CAF" w:rsidRDefault="00FD1A01" w:rsidP="005E44A4">
      <w:pPr>
        <w:pStyle w:val="Heading2"/>
      </w:pPr>
      <w:bookmarkStart w:id="312" w:name="_Toc19005577"/>
      <w:bookmarkStart w:id="313" w:name="_Toc101439016"/>
      <w:r>
        <w:t>1</w:t>
      </w:r>
      <w:r w:rsidR="00AF6B8C">
        <w:t>7</w:t>
      </w:r>
      <w:r w:rsidR="00E9069F">
        <w:t xml:space="preserve">.6   </w:t>
      </w:r>
      <w:r w:rsidR="00B61AEB" w:rsidRPr="00540CAF">
        <w:t>Labelling</w:t>
      </w:r>
      <w:bookmarkEnd w:id="312"/>
      <w:bookmarkEnd w:id="313"/>
    </w:p>
    <w:p w14:paraId="61821BBF" w14:textId="77777777" w:rsidR="004816D4" w:rsidRPr="00B85A1F" w:rsidRDefault="00E9069F" w:rsidP="00B61AEB">
      <w:pPr>
        <w:rPr>
          <w:rFonts w:eastAsiaTheme="minorHAnsi" w:cs="Arial"/>
          <w:lang w:eastAsia="en-US"/>
        </w:rPr>
      </w:pPr>
      <w:r w:rsidRPr="00B85A1F">
        <w:rPr>
          <w:rFonts w:cs="Arial"/>
        </w:rPr>
        <w:t xml:space="preserve">Manufacturers/importers have a duty to correctly classify chemicals and include information on known hazards on the label in accordance with </w:t>
      </w:r>
      <w:r w:rsidRPr="00B85A1F">
        <w:rPr>
          <w:rFonts w:eastAsiaTheme="minorHAnsi" w:cs="Arial"/>
          <w:lang w:eastAsia="en-US"/>
        </w:rPr>
        <w:t xml:space="preserve">Occupational Safety &amp; Health &amp; Regulations. </w:t>
      </w:r>
      <w:r w:rsidRPr="00874BAF">
        <w:rPr>
          <w:rFonts w:eastAsiaTheme="minorHAnsi" w:cs="Arial"/>
          <w:lang w:eastAsia="en-US"/>
        </w:rPr>
        <w:t>(</w:t>
      </w:r>
      <w:r w:rsidR="00874BAF" w:rsidRPr="00874BAF">
        <w:rPr>
          <w:rFonts w:eastAsiaTheme="minorHAnsi" w:cs="Arial"/>
          <w:lang w:eastAsia="en-US"/>
        </w:rPr>
        <w:t>Part 5, r. 5.6</w:t>
      </w:r>
      <w:r w:rsidRPr="00874BAF">
        <w:rPr>
          <w:rFonts w:eastAsiaTheme="minorHAnsi" w:cs="Arial"/>
          <w:lang w:eastAsia="en-US"/>
        </w:rPr>
        <w:t>)</w:t>
      </w:r>
    </w:p>
    <w:p w14:paraId="61821BC0" w14:textId="77777777" w:rsidR="00B61AEB" w:rsidRPr="00B85A1F" w:rsidRDefault="00E9069F" w:rsidP="00B61AEB">
      <w:pPr>
        <w:rPr>
          <w:rFonts w:cs="Arial"/>
        </w:rPr>
      </w:pPr>
      <w:r w:rsidRPr="00B85A1F">
        <w:rPr>
          <w:rFonts w:cs="Arial"/>
        </w:rPr>
        <w:t xml:space="preserve">Where the hazards associated with engineered nanoparticles have not been fully characterised the manufacturer/supplier should include an interim statement on the label such as: </w:t>
      </w:r>
    </w:p>
    <w:p w14:paraId="61821BC1" w14:textId="77777777" w:rsidR="00B61AEB" w:rsidRPr="00B85A1F" w:rsidRDefault="00E9069F" w:rsidP="002D2118">
      <w:pPr>
        <w:pStyle w:val="Bullet1"/>
      </w:pPr>
      <w:r w:rsidRPr="00B85A1F">
        <w:lastRenderedPageBreak/>
        <w:t xml:space="preserve">Contains engineered/manufactured nanomaterials. Caution: Hazards unknown; or </w:t>
      </w:r>
    </w:p>
    <w:p w14:paraId="61821BC2" w14:textId="77777777" w:rsidR="00B61AEB" w:rsidRPr="00B85A1F" w:rsidRDefault="00E9069F">
      <w:pPr>
        <w:pStyle w:val="Bullet1"/>
      </w:pPr>
      <w:r w:rsidRPr="00B85A1F">
        <w:t xml:space="preserve">Contains engineered/manufactured nanomaterials. Caution: Hazards not fully characterised. </w:t>
      </w:r>
    </w:p>
    <w:p w14:paraId="61821BC3" w14:textId="77777777" w:rsidR="004816D4" w:rsidRPr="00540CAF" w:rsidRDefault="00E9069F" w:rsidP="00B61AEB">
      <w:r w:rsidRPr="00B85A1F">
        <w:rPr>
          <w:rFonts w:cs="Arial"/>
        </w:rPr>
        <w:t>Where engineered nanomaterials are labelled with the above phrases, they should be included on the label of any container to which the nanomaterial is decanted</w:t>
      </w:r>
      <w:r w:rsidRPr="00540CAF">
        <w:t xml:space="preserve">. </w:t>
      </w:r>
    </w:p>
    <w:p w14:paraId="61821BC4" w14:textId="7939EF95" w:rsidR="00B61AEB" w:rsidRPr="00C35542" w:rsidRDefault="00FD1A01" w:rsidP="005E44A4">
      <w:pPr>
        <w:pStyle w:val="Heading2"/>
      </w:pPr>
      <w:bookmarkStart w:id="314" w:name="_Toc19005578"/>
      <w:bookmarkStart w:id="315" w:name="_Toc101439017"/>
      <w:r>
        <w:t>1</w:t>
      </w:r>
      <w:r w:rsidR="00AF6B8C">
        <w:t>7</w:t>
      </w:r>
      <w:r w:rsidR="00E9069F">
        <w:t xml:space="preserve">.7   </w:t>
      </w:r>
      <w:r w:rsidR="00B17271" w:rsidRPr="00C35542">
        <w:t>Spills</w:t>
      </w:r>
      <w:bookmarkEnd w:id="314"/>
      <w:bookmarkEnd w:id="315"/>
    </w:p>
    <w:p w14:paraId="61821BC5" w14:textId="77777777" w:rsidR="00B17271" w:rsidRPr="00C35542" w:rsidRDefault="00E9069F" w:rsidP="00B61AEB">
      <w:pPr>
        <w:rPr>
          <w:lang w:eastAsia="en-US"/>
        </w:rPr>
      </w:pPr>
      <w:r w:rsidRPr="00C35542">
        <w:rPr>
          <w:lang w:eastAsia="en-US"/>
        </w:rPr>
        <w:t>Methods to control spill and accidental release of nanomaterials should be identified in pre-planning activities. Where on-site personnel might reasonably be expected to deal with a spillage of nanomaterials, consideration may be given to the use of wet wipe cleaning methods, barriers to minimise air currents across areas affected by a spillage and</w:t>
      </w:r>
      <w:r w:rsidR="00197A8A" w:rsidRPr="00C35542">
        <w:rPr>
          <w:lang w:eastAsia="en-US"/>
        </w:rPr>
        <w:t xml:space="preserve"> tested and certified HEPA filters, for dry materials or dried spills. Dry sweeping should be avoided.</w:t>
      </w:r>
    </w:p>
    <w:p w14:paraId="61821BC6" w14:textId="6FCB23B2" w:rsidR="003E319D" w:rsidRPr="00C35542" w:rsidRDefault="00FD1A01" w:rsidP="005E44A4">
      <w:pPr>
        <w:pStyle w:val="Heading2"/>
      </w:pPr>
      <w:bookmarkStart w:id="316" w:name="_Toc19005579"/>
      <w:bookmarkStart w:id="317" w:name="_Toc101439018"/>
      <w:r>
        <w:t>1</w:t>
      </w:r>
      <w:r w:rsidR="00AF6B8C">
        <w:t>7</w:t>
      </w:r>
      <w:r w:rsidR="00E9069F">
        <w:t xml:space="preserve">.8   </w:t>
      </w:r>
      <w:r w:rsidR="00E9069F" w:rsidRPr="00C35542">
        <w:t>Nano waste Management</w:t>
      </w:r>
      <w:bookmarkEnd w:id="316"/>
      <w:bookmarkEnd w:id="317"/>
      <w:r w:rsidR="00E9069F" w:rsidRPr="00C35542">
        <w:t xml:space="preserve"> </w:t>
      </w:r>
    </w:p>
    <w:p w14:paraId="61821BC7" w14:textId="77777777" w:rsidR="00197A8A" w:rsidRPr="00C35542" w:rsidRDefault="00E9069F" w:rsidP="00197A8A">
      <w:r w:rsidRPr="00C35542">
        <w:rPr>
          <w:lang w:eastAsia="en-US"/>
        </w:rPr>
        <w:t xml:space="preserve">The properties of a nanomaterial must be considered when determining the appropriate method of waste disposal. </w:t>
      </w:r>
      <w:r w:rsidRPr="00C35542">
        <w:t xml:space="preserve">Consideration needs to be given to the following characteristics: </w:t>
      </w:r>
    </w:p>
    <w:p w14:paraId="61821BC8" w14:textId="77777777" w:rsidR="00197A8A" w:rsidRPr="00C35542" w:rsidRDefault="00E9069F" w:rsidP="002D2118">
      <w:pPr>
        <w:pStyle w:val="Bullet1"/>
      </w:pPr>
      <w:r w:rsidRPr="00C35542">
        <w:t xml:space="preserve">Type of nanomaterial or nano-product from which </w:t>
      </w:r>
      <w:proofErr w:type="spellStart"/>
      <w:r w:rsidRPr="00C35542">
        <w:t>nanowaste</w:t>
      </w:r>
      <w:proofErr w:type="spellEnd"/>
      <w:r w:rsidRPr="00C35542">
        <w:t xml:space="preserve"> is derived can </w:t>
      </w:r>
      <w:proofErr w:type="gramStart"/>
      <w:r w:rsidRPr="00C35542">
        <w:t>effect</w:t>
      </w:r>
      <w:proofErr w:type="gramEnd"/>
      <w:r w:rsidRPr="00C35542">
        <w:t xml:space="preserve"> waste characteristics. These characteristics include Flammability, Corrosivity, </w:t>
      </w:r>
      <w:proofErr w:type="gramStart"/>
      <w:r w:rsidRPr="00C35542">
        <w:t>Reactivity ,Toxicity</w:t>
      </w:r>
      <w:proofErr w:type="gramEnd"/>
      <w:r w:rsidRPr="00C35542">
        <w:t xml:space="preserve">, Physical form (e.g. material size can effect waste characteristics) </w:t>
      </w:r>
    </w:p>
    <w:p w14:paraId="61821BC9" w14:textId="77777777" w:rsidR="00197A8A" w:rsidRPr="00C35542" w:rsidRDefault="00E9069F" w:rsidP="002D2118">
      <w:pPr>
        <w:pStyle w:val="Bullet1"/>
      </w:pPr>
      <w:r w:rsidRPr="00C35542">
        <w:t>The sources of nanomaterial waste may include the Manufactured Nanomaterials themselves (</w:t>
      </w:r>
      <w:proofErr w:type="gramStart"/>
      <w:r w:rsidRPr="00C35542">
        <w:t>e.g.</w:t>
      </w:r>
      <w:proofErr w:type="gramEnd"/>
      <w:r w:rsidRPr="00C35542">
        <w:t xml:space="preserve"> Carbon Nanotubes), Nano By-products - organic or inorganic, Liquid Suspensions Containing Nanomaterials, Items Contaminated with Nanomaterials (e.g. Wipes/PPE), the waste of animals to which nanomaterials have been administered, Solid matrices with Nanomaterials</w:t>
      </w:r>
    </w:p>
    <w:p w14:paraId="61821BCA" w14:textId="77777777" w:rsidR="00197A8A" w:rsidRPr="008B0D96" w:rsidRDefault="00E9069F" w:rsidP="008B0D96">
      <w:pPr>
        <w:pStyle w:val="Bullet1"/>
      </w:pPr>
      <w:r w:rsidRPr="00C35542">
        <w:t xml:space="preserve">Due </w:t>
      </w:r>
      <w:r w:rsidR="001439CC" w:rsidRPr="00C35542">
        <w:t>to the</w:t>
      </w:r>
      <w:r w:rsidRPr="00C35542">
        <w:t xml:space="preserve"> above, waste containing nanomaterials may require, Separation from other waste streams, </w:t>
      </w:r>
      <w:r w:rsidR="001439CC" w:rsidRPr="00C35542">
        <w:t xml:space="preserve">to be </w:t>
      </w:r>
      <w:r w:rsidRPr="00C35542">
        <w:t>Bag</w:t>
      </w:r>
      <w:r w:rsidR="001439CC" w:rsidRPr="00C35542">
        <w:t>ged and sealed, to be l</w:t>
      </w:r>
      <w:r w:rsidRPr="00C35542">
        <w:t>abel</w:t>
      </w:r>
      <w:r w:rsidR="001439CC" w:rsidRPr="00C35542">
        <w:t>led</w:t>
      </w:r>
      <w:r w:rsidRPr="00C35542">
        <w:t xml:space="preserve"> as per clinic</w:t>
      </w:r>
      <w:r w:rsidR="001439CC" w:rsidRPr="00C35542">
        <w:t xml:space="preserve">al waste protocols and ADG Code, storage on site, to be recycled where possible. For the time being, disposal of waste via incineration plants should be avoided where little is known about the behaviour or there </w:t>
      </w:r>
      <w:proofErr w:type="gramStart"/>
      <w:r w:rsidR="001439CC" w:rsidRPr="00C35542">
        <w:t>is</w:t>
      </w:r>
      <w:proofErr w:type="gramEnd"/>
      <w:r w:rsidR="001439CC" w:rsidRPr="00C35542">
        <w:t xml:space="preserve"> high co</w:t>
      </w:r>
      <w:r w:rsidR="008B0D96">
        <w:t xml:space="preserve">ncentrations of nanoparticles. </w:t>
      </w:r>
    </w:p>
    <w:p w14:paraId="61821BCB" w14:textId="2FD9C856" w:rsidR="001439CC" w:rsidRDefault="00E9069F" w:rsidP="003A782C">
      <w:pPr>
        <w:pStyle w:val="Heading1"/>
        <w:numPr>
          <w:ilvl w:val="0"/>
          <w:numId w:val="0"/>
        </w:numPr>
        <w:tabs>
          <w:tab w:val="clear" w:pos="851"/>
          <w:tab w:val="left" w:pos="426"/>
        </w:tabs>
      </w:pPr>
      <w:bookmarkStart w:id="318" w:name="_Toc19005580"/>
      <w:bookmarkStart w:id="319" w:name="_Toc101439019"/>
      <w:r>
        <w:t>1</w:t>
      </w:r>
      <w:r w:rsidR="00AF6B8C">
        <w:t>8</w:t>
      </w:r>
      <w:r>
        <w:t>.</w:t>
      </w:r>
      <w:r>
        <w:tab/>
        <w:t>Security Risk Substances (SRS)</w:t>
      </w:r>
      <w:bookmarkEnd w:id="318"/>
      <w:bookmarkEnd w:id="319"/>
    </w:p>
    <w:p w14:paraId="61821BCC" w14:textId="2C76E070" w:rsidR="001439CC" w:rsidRDefault="00FD1A01" w:rsidP="005E44A4">
      <w:pPr>
        <w:pStyle w:val="Heading2"/>
      </w:pPr>
      <w:bookmarkStart w:id="320" w:name="_Toc19005581"/>
      <w:bookmarkStart w:id="321" w:name="_Toc101439020"/>
      <w:r>
        <w:t>1</w:t>
      </w:r>
      <w:r w:rsidR="00AF6B8C">
        <w:t>8</w:t>
      </w:r>
      <w:r w:rsidR="00E9069F">
        <w:t>.1   Ammonium Nitrate</w:t>
      </w:r>
      <w:bookmarkEnd w:id="320"/>
      <w:bookmarkEnd w:id="321"/>
      <w:r w:rsidR="00E9069F">
        <w:t xml:space="preserve"> </w:t>
      </w:r>
    </w:p>
    <w:p w14:paraId="61821BCD" w14:textId="77777777" w:rsidR="001439CC" w:rsidRPr="006F0B63" w:rsidRDefault="00E9069F" w:rsidP="001439CC">
      <w:r w:rsidRPr="006F0B63">
        <w:t xml:space="preserve">The term Security Risk Substances (SRS) has been given to dangerous goods of particular security concern because their misuse may lead to mass casualties and/or destruction. </w:t>
      </w:r>
    </w:p>
    <w:p w14:paraId="61821BCE" w14:textId="77777777" w:rsidR="001439CC" w:rsidRPr="006F0B63" w:rsidRDefault="00E9069F" w:rsidP="001439CC">
      <w:r w:rsidRPr="006F0B63">
        <w:t>Western Australia has developed dedicated regulations for SRS under the Dangerous Goods Safety Act. The requirements of the SRS Regulations are in addition to the requirements of the other dan</w:t>
      </w:r>
      <w:r w:rsidR="00B77989">
        <w:t xml:space="preserve">gerous goods safety regulations and any other legislation that may apply. </w:t>
      </w:r>
    </w:p>
    <w:p w14:paraId="61821BCF" w14:textId="77777777" w:rsidR="001439CC" w:rsidRPr="00B85A1F" w:rsidRDefault="00E9069F" w:rsidP="00085C46">
      <w:r w:rsidRPr="006F0B63">
        <w:t xml:space="preserve">Security Risk Substances are substances containing more than 45% Ammonium </w:t>
      </w:r>
      <w:r w:rsidR="00085C46" w:rsidRPr="006F0B63">
        <w:t>Nitrate, which</w:t>
      </w:r>
      <w:r w:rsidRPr="006F0B63">
        <w:t xml:space="preserve"> is not an explosive or an aqueous solution consisting of a homogeneous mixture of 2 or more components in a single phase. </w:t>
      </w:r>
      <w:r w:rsidR="006F40A4">
        <w:t xml:space="preserve">The above substances will collectively be referred to </w:t>
      </w:r>
      <w:r w:rsidR="006F40A4" w:rsidRPr="00B85A1F">
        <w:t>as Security Sensitive Ammonium Nitrate (SSAN)</w:t>
      </w:r>
    </w:p>
    <w:p w14:paraId="61821BD0" w14:textId="4D1CA6E7" w:rsidR="001439CC" w:rsidRPr="006F40A4" w:rsidRDefault="00FD1A01" w:rsidP="005E44A4">
      <w:pPr>
        <w:pStyle w:val="Heading2"/>
      </w:pPr>
      <w:bookmarkStart w:id="322" w:name="_Toc19005582"/>
      <w:bookmarkStart w:id="323" w:name="_Toc101439021"/>
      <w:r>
        <w:lastRenderedPageBreak/>
        <w:t>1</w:t>
      </w:r>
      <w:r w:rsidR="00AF6B8C">
        <w:t>8</w:t>
      </w:r>
      <w:r w:rsidR="00E9069F">
        <w:t xml:space="preserve">.2   </w:t>
      </w:r>
      <w:r w:rsidR="00E9069F" w:rsidRPr="006F40A4">
        <w:t>Licenc</w:t>
      </w:r>
      <w:r w:rsidR="006F40A4" w:rsidRPr="006F40A4">
        <w:t>ing and Exem</w:t>
      </w:r>
      <w:r w:rsidR="006F40A4">
        <w:t>p</w:t>
      </w:r>
      <w:r w:rsidR="006F40A4" w:rsidRPr="006F40A4">
        <w:t>tion</w:t>
      </w:r>
      <w:r w:rsidR="008F3B81">
        <w:t xml:space="preserve"> Quantities</w:t>
      </w:r>
      <w:bookmarkEnd w:id="322"/>
      <w:bookmarkEnd w:id="323"/>
    </w:p>
    <w:p w14:paraId="61821BD1" w14:textId="23FE7608" w:rsidR="00A31F37" w:rsidRDefault="00E9069F" w:rsidP="001439CC">
      <w:r w:rsidRPr="00B77989">
        <w:t xml:space="preserve">In general, the </w:t>
      </w:r>
      <w:r>
        <w:t>m</w:t>
      </w:r>
      <w:r w:rsidRPr="00B77989">
        <w:t>anufacture, import, export, supply, transport possession, access or use of Security Risk Substances require</w:t>
      </w:r>
      <w:r>
        <w:t>s</w:t>
      </w:r>
      <w:r w:rsidRPr="00B77989">
        <w:t xml:space="preserve"> a </w:t>
      </w:r>
      <w:r w:rsidR="00CF4891">
        <w:t>Licence</w:t>
      </w:r>
      <w:r w:rsidRPr="00B77989">
        <w:t xml:space="preserve">, issued by the Department of Mines and Petroleum.  An exemption to </w:t>
      </w:r>
      <w:r>
        <w:t>the licencing requirements for the possession of SRS exists for educational institutions (persons employed by and &amp; students of educational institutions).</w:t>
      </w:r>
    </w:p>
    <w:p w14:paraId="61821BD2" w14:textId="7402CF65" w:rsidR="006F40A4" w:rsidRDefault="00E9069F" w:rsidP="001439CC">
      <w:r>
        <w:t>This exemption is conditional on a legitimate research, teaching or analysis requirement for the SRS that do not involve the manufacture of an illegal product and a limit of 3kg of SRS held in any laboratory/building.</w:t>
      </w:r>
      <w:r w:rsidRPr="006F40A4">
        <w:rPr>
          <w:highlight w:val="cyan"/>
        </w:rPr>
        <w:t xml:space="preserve"> </w:t>
      </w:r>
      <w:r w:rsidRPr="006F40A4">
        <w:t xml:space="preserve"> </w:t>
      </w:r>
      <w:r>
        <w:t xml:space="preserve">This </w:t>
      </w:r>
      <w:r w:rsidRPr="006F40A4">
        <w:t xml:space="preserve">is to be recorded </w:t>
      </w:r>
      <w:r>
        <w:t xml:space="preserve">and managed </w:t>
      </w:r>
      <w:r w:rsidRPr="006F40A4">
        <w:t>on ChemAlert</w:t>
      </w:r>
      <w:r>
        <w:t xml:space="preserve">. Should more than of 3kg of SRS be required, Contact the Director of </w:t>
      </w:r>
      <w:r w:rsidR="005B3B08">
        <w:t>Health and Safety</w:t>
      </w:r>
      <w:r>
        <w:t xml:space="preserve"> </w:t>
      </w:r>
      <w:r w:rsidR="008F3B81">
        <w:t xml:space="preserve">on ext. 4900 </w:t>
      </w:r>
      <w:r>
        <w:t>to discuss the requirement for a licence.</w:t>
      </w:r>
    </w:p>
    <w:p w14:paraId="61821BD3" w14:textId="77777777" w:rsidR="006F40A4" w:rsidRPr="00B77989" w:rsidRDefault="00E9069F" w:rsidP="001439CC">
      <w:proofErr w:type="gramStart"/>
      <w:r>
        <w:t>SRS’s</w:t>
      </w:r>
      <w:proofErr w:type="gramEnd"/>
      <w:r>
        <w:t xml:space="preserve"> are considered to be a Chemical of Security Concern. </w:t>
      </w:r>
      <w:r w:rsidRPr="00DE7447">
        <w:t xml:space="preserve">Please see section </w:t>
      </w:r>
      <w:r w:rsidR="002D2118" w:rsidRPr="00DE7447">
        <w:t xml:space="preserve">19 </w:t>
      </w:r>
      <w:r w:rsidRPr="00DE7447">
        <w:t>for</w:t>
      </w:r>
      <w:r>
        <w:t xml:space="preserve"> recommendations on management of Chemical of Security Concern.</w:t>
      </w:r>
    </w:p>
    <w:p w14:paraId="61821BD4" w14:textId="2ADB4244" w:rsidR="003E319D" w:rsidRPr="00002BBF" w:rsidRDefault="00AF6B8C" w:rsidP="003A782C">
      <w:pPr>
        <w:pStyle w:val="Heading1"/>
        <w:numPr>
          <w:ilvl w:val="0"/>
          <w:numId w:val="0"/>
        </w:numPr>
        <w:tabs>
          <w:tab w:val="clear" w:pos="851"/>
          <w:tab w:val="left" w:pos="426"/>
        </w:tabs>
      </w:pPr>
      <w:bookmarkStart w:id="324" w:name="_Toc19005583"/>
      <w:bookmarkStart w:id="325" w:name="_Toc101439022"/>
      <w:r>
        <w:t>19</w:t>
      </w:r>
      <w:r w:rsidR="00E9069F">
        <w:t>.</w:t>
      </w:r>
      <w:r w:rsidR="00E9069F">
        <w:tab/>
      </w:r>
      <w:r w:rsidR="00E9069F" w:rsidRPr="00002BBF">
        <w:t>Chemicals of Security Concern</w:t>
      </w:r>
      <w:bookmarkEnd w:id="324"/>
      <w:bookmarkEnd w:id="325"/>
    </w:p>
    <w:p w14:paraId="61821BD5" w14:textId="55F9AA7E" w:rsidR="003E319D" w:rsidRDefault="00AF6B8C" w:rsidP="005E44A4">
      <w:pPr>
        <w:pStyle w:val="Heading2"/>
      </w:pPr>
      <w:bookmarkStart w:id="326" w:name="_Toc19005584"/>
      <w:bookmarkStart w:id="327" w:name="_Toc101439023"/>
      <w:r>
        <w:t>19</w:t>
      </w:r>
      <w:r w:rsidR="00E9069F">
        <w:t>.1   Introduction</w:t>
      </w:r>
      <w:bookmarkEnd w:id="326"/>
      <w:bookmarkEnd w:id="327"/>
      <w:r w:rsidR="00E9069F">
        <w:t xml:space="preserve">   </w:t>
      </w:r>
    </w:p>
    <w:p w14:paraId="61821BD6" w14:textId="77777777" w:rsidR="003E319D" w:rsidRDefault="00E9069F" w:rsidP="00E27BFA">
      <w:r>
        <w:t>Chemicals are legitimately used by individuals and organisations every day throughout Australia. However, a small percentage of these chemicals have been diverted and for unlawful purposes, including facilitating terrorist attacks. The Council of Australian Governments (COAG) have identified 96 chemicals as chemicals security concern, due to their potential to produce explosive or toxic weapons.</w:t>
      </w:r>
    </w:p>
    <w:p w14:paraId="61821BD7" w14:textId="77777777" w:rsidR="00002BBF" w:rsidRDefault="00E9069F" w:rsidP="00E27BFA">
      <w:r>
        <w:t>A voluntary National Code of Practice for Chemicals of Security Concern applies to 11 of the 96 Chemicals of Security Concern that are precursors to homemade explosives. Ideally the code should be applied to the additional 84 toxic chemicals of security concern as security risk management is part of good business practise. The remaining Chemical of Security Concern is Ammonium Nitrate as covered by the Dangerous Goods Safety (Security Risk Substance) regulations 2007</w:t>
      </w:r>
      <w:r w:rsidR="00C0208D">
        <w:t xml:space="preserve"> (see </w:t>
      </w:r>
      <w:r w:rsidR="00907B03">
        <w:t>Section 18</w:t>
      </w:r>
      <w:r w:rsidR="00C0208D">
        <w:t>)</w:t>
      </w:r>
      <w:r>
        <w:t>.</w:t>
      </w:r>
      <w:r w:rsidRPr="00002BBF">
        <w:t xml:space="preserve"> </w:t>
      </w:r>
      <w:r>
        <w:t xml:space="preserve">The National Code of Practice for Chemicals of Security Concern outlines measures to increase responsibility, security, monitoring of inventory and </w:t>
      </w:r>
      <w:r w:rsidR="00500A10">
        <w:t xml:space="preserve">the </w:t>
      </w:r>
      <w:r>
        <w:t xml:space="preserve">reporting </w:t>
      </w:r>
      <w:r w:rsidR="00500A10">
        <w:t xml:space="preserve">of </w:t>
      </w:r>
      <w:r>
        <w:t>suspicious behaviour.</w:t>
      </w:r>
    </w:p>
    <w:p w14:paraId="61821BD8" w14:textId="51CFE049" w:rsidR="00E97243" w:rsidRDefault="00AF6B8C" w:rsidP="005E44A4">
      <w:pPr>
        <w:pStyle w:val="Heading2"/>
      </w:pPr>
      <w:bookmarkStart w:id="328" w:name="_Toc19005585"/>
      <w:bookmarkStart w:id="329" w:name="_Toc101439024"/>
      <w:r>
        <w:t>19</w:t>
      </w:r>
      <w:r w:rsidR="00E9069F">
        <w:t xml:space="preserve">.2   </w:t>
      </w:r>
      <w:r w:rsidR="00C0208D">
        <w:t>Chemicals covered by the code</w:t>
      </w:r>
      <w:bookmarkEnd w:id="328"/>
      <w:bookmarkEnd w:id="329"/>
    </w:p>
    <w:p w14:paraId="61821BD9" w14:textId="78229F06" w:rsidR="00EC46B1" w:rsidRPr="003A782C" w:rsidRDefault="00E9069F" w:rsidP="00EC46B1">
      <w:pPr>
        <w:rPr>
          <w:b/>
          <w:lang w:eastAsia="en-US"/>
        </w:rPr>
      </w:pPr>
      <w:bookmarkStart w:id="330" w:name="_Toc18574533"/>
      <w:bookmarkStart w:id="331" w:name="_Toc99619995"/>
      <w:r w:rsidRPr="003A782C">
        <w:rPr>
          <w:b/>
          <w:lang w:eastAsia="en-US"/>
        </w:rPr>
        <w:t xml:space="preserve">Table </w:t>
      </w:r>
      <w:r w:rsidR="00E3271A" w:rsidRPr="007625FF">
        <w:rPr>
          <w:rFonts w:eastAsia="Calibri" w:cs="Calibri"/>
          <w:b/>
          <w:bCs/>
          <w:sz w:val="18"/>
          <w:szCs w:val="18"/>
          <w:lang w:val="en-US" w:eastAsia="en-US"/>
        </w:rPr>
        <w:fldChar w:fldCharType="begin"/>
      </w:r>
      <w:r w:rsidR="00E3271A" w:rsidRPr="003A782C">
        <w:rPr>
          <w:b/>
          <w:lang w:eastAsia="en-US"/>
        </w:rPr>
        <w:instrText xml:space="preserve"> SEQ Table \* ARABIC </w:instrText>
      </w:r>
      <w:r w:rsidR="00E3271A" w:rsidRPr="007625FF">
        <w:rPr>
          <w:rFonts w:eastAsia="Calibri" w:cs="Calibri"/>
          <w:b/>
          <w:bCs/>
          <w:sz w:val="18"/>
          <w:szCs w:val="18"/>
          <w:lang w:val="en-US" w:eastAsia="en-US"/>
        </w:rPr>
        <w:fldChar w:fldCharType="separate"/>
      </w:r>
      <w:r w:rsidR="00BC0589">
        <w:rPr>
          <w:b/>
          <w:noProof/>
          <w:lang w:eastAsia="en-US"/>
        </w:rPr>
        <w:t>8</w:t>
      </w:r>
      <w:r w:rsidR="00E3271A" w:rsidRPr="007625FF">
        <w:rPr>
          <w:rFonts w:eastAsia="Calibri" w:cs="Calibri"/>
          <w:b/>
          <w:bCs/>
          <w:sz w:val="18"/>
          <w:szCs w:val="18"/>
          <w:lang w:val="en-US" w:eastAsia="en-US"/>
        </w:rPr>
        <w:fldChar w:fldCharType="end"/>
      </w:r>
      <w:r w:rsidRPr="003A782C">
        <w:rPr>
          <w:b/>
          <w:lang w:eastAsia="en-US"/>
        </w:rPr>
        <w:t xml:space="preserve">: Chemical covered by the </w:t>
      </w:r>
      <w:r w:rsidRPr="003A782C">
        <w:rPr>
          <w:b/>
        </w:rPr>
        <w:t>National Code of Practice for Chemicals of Security Concern.</w:t>
      </w:r>
      <w:bookmarkEnd w:id="330"/>
      <w:bookmarkEnd w:id="331"/>
    </w:p>
    <w:p w14:paraId="61821BDA" w14:textId="77777777" w:rsidR="008B0D96" w:rsidRPr="008B0D96" w:rsidRDefault="008B0D96" w:rsidP="008B0D96">
      <w:pPr>
        <w:spacing w:before="0"/>
        <w:rPr>
          <w:lang w:eastAsia="en-US"/>
        </w:rPr>
      </w:pPr>
    </w:p>
    <w:tbl>
      <w:tblPr>
        <w:tblStyle w:val="TableGrid"/>
        <w:tblW w:w="9493" w:type="dxa"/>
        <w:tblLook w:val="04A0" w:firstRow="1" w:lastRow="0" w:firstColumn="1" w:lastColumn="0" w:noHBand="0" w:noVBand="1"/>
      </w:tblPr>
      <w:tblGrid>
        <w:gridCol w:w="2830"/>
        <w:gridCol w:w="6663"/>
      </w:tblGrid>
      <w:tr w:rsidR="0059373B" w14:paraId="61821BDC" w14:textId="77777777" w:rsidTr="00B83EFE">
        <w:tc>
          <w:tcPr>
            <w:tcW w:w="9493" w:type="dxa"/>
            <w:gridSpan w:val="2"/>
          </w:tcPr>
          <w:p w14:paraId="61821BDB" w14:textId="77777777" w:rsidR="00B83EFE" w:rsidRPr="00B83EFE" w:rsidRDefault="00E9069F" w:rsidP="00EF17D7">
            <w:pPr>
              <w:jc w:val="center"/>
              <w:rPr>
                <w:rFonts w:cs="Arial"/>
              </w:rPr>
            </w:pPr>
            <w:r w:rsidRPr="00B83EFE">
              <w:rPr>
                <w:rFonts w:cs="Arial"/>
                <w:sz w:val="24"/>
              </w:rPr>
              <w:t>Chemicals of Security Concern</w:t>
            </w:r>
          </w:p>
        </w:tc>
      </w:tr>
      <w:tr w:rsidR="0059373B" w14:paraId="61821BFD" w14:textId="77777777" w:rsidTr="00B83EFE">
        <w:trPr>
          <w:trHeight w:val="416"/>
        </w:trPr>
        <w:tc>
          <w:tcPr>
            <w:tcW w:w="2830" w:type="dxa"/>
          </w:tcPr>
          <w:p w14:paraId="61821BDD" w14:textId="77777777" w:rsidR="00B83EFE" w:rsidRPr="00B83EFE" w:rsidRDefault="00E9069F" w:rsidP="00EF17D7">
            <w:pPr>
              <w:keepLines w:val="0"/>
              <w:spacing w:before="0"/>
              <w:jc w:val="left"/>
              <w:rPr>
                <w:rFonts w:eastAsia="Calibri" w:cs="Arial"/>
                <w:lang w:eastAsia="en-US"/>
              </w:rPr>
            </w:pPr>
            <w:r w:rsidRPr="00B83EFE">
              <w:rPr>
                <w:rFonts w:eastAsia="Calibri" w:cs="Arial"/>
                <w:b/>
                <w:color w:val="000000"/>
              </w:rPr>
              <w:t xml:space="preserve">Security Risk Substances </w:t>
            </w:r>
          </w:p>
          <w:p w14:paraId="61821BDE"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 xml:space="preserve">Ammonium Nitrate </w:t>
            </w:r>
            <w:r w:rsidR="00907B03">
              <w:rPr>
                <w:rFonts w:eastAsia="Calibri" w:cs="Arial"/>
                <w:color w:val="000000"/>
              </w:rPr>
              <w:t>(Section 18</w:t>
            </w:r>
            <w:r w:rsidRPr="00DE7447">
              <w:rPr>
                <w:rFonts w:eastAsia="Calibri" w:cs="Arial"/>
                <w:color w:val="000000"/>
              </w:rPr>
              <w:t>)</w:t>
            </w:r>
            <w:r w:rsidRPr="00B83EFE">
              <w:rPr>
                <w:rFonts w:eastAsia="Calibri" w:cs="Arial"/>
                <w:color w:val="000000"/>
              </w:rPr>
              <w:t xml:space="preserve"> </w:t>
            </w:r>
          </w:p>
          <w:p w14:paraId="61821BDF" w14:textId="77777777" w:rsidR="00B83EFE" w:rsidRDefault="00B83EFE" w:rsidP="00EF17D7">
            <w:pPr>
              <w:keepLines w:val="0"/>
              <w:spacing w:before="0"/>
              <w:jc w:val="left"/>
              <w:rPr>
                <w:rFonts w:eastAsia="Calibri" w:cs="Arial"/>
                <w:b/>
                <w:lang w:eastAsia="en-US"/>
              </w:rPr>
            </w:pPr>
          </w:p>
          <w:p w14:paraId="61821BE1" w14:textId="77777777" w:rsidR="00B83EFE" w:rsidRPr="00B83EFE" w:rsidRDefault="00E9069F" w:rsidP="00EF17D7">
            <w:pPr>
              <w:keepLines w:val="0"/>
              <w:spacing w:before="0"/>
              <w:jc w:val="left"/>
              <w:rPr>
                <w:rFonts w:eastAsia="Calibri" w:cs="Arial"/>
                <w:b/>
                <w:lang w:eastAsia="en-US"/>
              </w:rPr>
            </w:pPr>
            <w:r w:rsidRPr="00B83EFE">
              <w:rPr>
                <w:rFonts w:eastAsia="Calibri" w:cs="Arial"/>
                <w:b/>
                <w:lang w:eastAsia="en-US"/>
              </w:rPr>
              <w:t>11 precursor chemicals</w:t>
            </w:r>
          </w:p>
          <w:p w14:paraId="61821BE2"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Ammonium perchlorate</w:t>
            </w:r>
          </w:p>
          <w:p w14:paraId="61821BE3" w14:textId="77777777" w:rsidR="00B83EFE" w:rsidRPr="00B83EFE" w:rsidRDefault="00E9069F" w:rsidP="00B83EFE">
            <w:pPr>
              <w:keepLines w:val="0"/>
              <w:spacing w:before="0"/>
              <w:jc w:val="left"/>
              <w:rPr>
                <w:rFonts w:eastAsia="Calibri" w:cs="Arial"/>
                <w:lang w:val="es-ES_tradnl" w:eastAsia="en-US"/>
              </w:rPr>
            </w:pPr>
            <w:proofErr w:type="spellStart"/>
            <w:r w:rsidRPr="00B83EFE">
              <w:rPr>
                <w:rFonts w:eastAsia="Calibri" w:cs="Arial"/>
                <w:lang w:val="es-ES_tradnl" w:eastAsia="en-US"/>
              </w:rPr>
              <w:t>Hydrogen</w:t>
            </w:r>
            <w:proofErr w:type="spellEnd"/>
            <w:r w:rsidRPr="00B83EFE">
              <w:rPr>
                <w:rFonts w:eastAsia="Calibri" w:cs="Arial"/>
                <w:lang w:val="es-ES_tradnl" w:eastAsia="en-US"/>
              </w:rPr>
              <w:t xml:space="preserve"> </w:t>
            </w:r>
            <w:proofErr w:type="spellStart"/>
            <w:r w:rsidRPr="00B83EFE">
              <w:rPr>
                <w:rFonts w:eastAsia="Calibri" w:cs="Arial"/>
                <w:lang w:val="es-ES_tradnl" w:eastAsia="en-US"/>
              </w:rPr>
              <w:t>peroxide</w:t>
            </w:r>
            <w:proofErr w:type="spellEnd"/>
            <w:r w:rsidRPr="00B83EFE">
              <w:rPr>
                <w:rFonts w:eastAsia="Calibri" w:cs="Arial"/>
                <w:lang w:val="es-ES_tradnl" w:eastAsia="en-US"/>
              </w:rPr>
              <w:t xml:space="preserve"> </w:t>
            </w:r>
          </w:p>
          <w:p w14:paraId="61821BE4"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 xml:space="preserve">Nitric acid </w:t>
            </w:r>
          </w:p>
          <w:p w14:paraId="61821BE5" w14:textId="77777777" w:rsidR="00B83EFE" w:rsidRPr="00B83EFE" w:rsidRDefault="00E9069F" w:rsidP="00B83EFE">
            <w:pPr>
              <w:keepLines w:val="0"/>
              <w:spacing w:before="0"/>
              <w:jc w:val="left"/>
              <w:rPr>
                <w:rFonts w:eastAsia="Calibri" w:cs="Arial"/>
                <w:b/>
                <w:lang w:eastAsia="en-US"/>
              </w:rPr>
            </w:pPr>
            <w:r w:rsidRPr="00B83EFE">
              <w:rPr>
                <w:rFonts w:eastAsia="Calibri" w:cs="Arial"/>
                <w:lang w:eastAsia="en-US"/>
              </w:rPr>
              <w:t>Nitromethane</w:t>
            </w:r>
          </w:p>
          <w:p w14:paraId="61821BE6" w14:textId="77777777" w:rsidR="00B83EFE" w:rsidRPr="00B83EFE" w:rsidRDefault="00E9069F" w:rsidP="00B83EFE">
            <w:pPr>
              <w:keepLines w:val="0"/>
              <w:spacing w:before="0"/>
              <w:jc w:val="left"/>
              <w:rPr>
                <w:rFonts w:eastAsia="Calibri" w:cs="Arial"/>
                <w:b/>
                <w:lang w:eastAsia="en-US"/>
              </w:rPr>
            </w:pPr>
            <w:r w:rsidRPr="00B83EFE">
              <w:rPr>
                <w:rFonts w:eastAsia="Calibri" w:cs="Arial"/>
                <w:color w:val="000000"/>
              </w:rPr>
              <w:t>Potassium chlorate</w:t>
            </w:r>
          </w:p>
          <w:p w14:paraId="61821BE7"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Potassium nitrate</w:t>
            </w:r>
          </w:p>
          <w:p w14:paraId="61821BE8"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 xml:space="preserve">Potassium perchlorate </w:t>
            </w:r>
          </w:p>
          <w:p w14:paraId="61821BE9"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 xml:space="preserve">Sodium </w:t>
            </w:r>
            <w:proofErr w:type="spellStart"/>
            <w:r w:rsidRPr="00B83EFE">
              <w:rPr>
                <w:rFonts w:eastAsia="Calibri" w:cs="Arial"/>
                <w:color w:val="000000"/>
              </w:rPr>
              <w:t>azide</w:t>
            </w:r>
            <w:proofErr w:type="spellEnd"/>
            <w:r w:rsidRPr="00B83EFE">
              <w:rPr>
                <w:rFonts w:eastAsia="Calibri" w:cs="Arial"/>
                <w:color w:val="000000"/>
              </w:rPr>
              <w:t xml:space="preserve"> </w:t>
            </w:r>
            <w:r w:rsidRPr="00B83EFE">
              <w:rPr>
                <w:rFonts w:eastAsia="Calibri" w:cs="Arial"/>
                <w:color w:val="000000"/>
              </w:rPr>
              <w:tab/>
            </w:r>
          </w:p>
          <w:p w14:paraId="61821BEA"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Sodium chlorate</w:t>
            </w:r>
          </w:p>
          <w:p w14:paraId="61821BEB"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Sodium nitrate</w:t>
            </w:r>
            <w:r w:rsidRPr="00B83EFE">
              <w:rPr>
                <w:rFonts w:eastAsia="Calibri" w:cs="Arial"/>
                <w:color w:val="000000"/>
              </w:rPr>
              <w:tab/>
            </w:r>
          </w:p>
          <w:p w14:paraId="61821BEC" w14:textId="77777777" w:rsidR="00B83EFE" w:rsidRPr="00B83EFE" w:rsidRDefault="00E9069F" w:rsidP="00B83EFE">
            <w:pPr>
              <w:keepLines w:val="0"/>
              <w:spacing w:before="0"/>
              <w:jc w:val="left"/>
              <w:rPr>
                <w:rFonts w:eastAsia="Calibri" w:cs="Arial"/>
                <w:color w:val="000000"/>
              </w:rPr>
            </w:pPr>
            <w:r>
              <w:rPr>
                <w:rFonts w:eastAsia="Calibri" w:cs="Arial"/>
                <w:color w:val="000000"/>
              </w:rPr>
              <w:lastRenderedPageBreak/>
              <w:t>Sodium perchlorat</w:t>
            </w:r>
            <w:r w:rsidR="005B3B08">
              <w:rPr>
                <w:rFonts w:eastAsia="Calibri" w:cs="Arial"/>
                <w:color w:val="000000"/>
              </w:rPr>
              <w:t>e</w:t>
            </w:r>
          </w:p>
        </w:tc>
        <w:tc>
          <w:tcPr>
            <w:tcW w:w="6663" w:type="dxa"/>
          </w:tcPr>
          <w:p w14:paraId="61821BED" w14:textId="77777777" w:rsidR="00B83EFE" w:rsidRPr="00B83EFE" w:rsidRDefault="00E9069F" w:rsidP="00B83EFE">
            <w:pPr>
              <w:keepLines w:val="0"/>
              <w:spacing w:before="0"/>
              <w:jc w:val="left"/>
              <w:rPr>
                <w:rFonts w:eastAsia="Calibri" w:cs="Arial"/>
                <w:lang w:eastAsia="en-US"/>
              </w:rPr>
            </w:pPr>
            <w:r>
              <w:rPr>
                <w:rFonts w:cs="Arial"/>
              </w:rPr>
              <w:lastRenderedPageBreak/>
              <w:t>&gt; 4</w:t>
            </w:r>
            <w:r w:rsidRPr="00B83EFE">
              <w:rPr>
                <w:rFonts w:cs="Arial"/>
              </w:rPr>
              <w:t>5% Ammonium Nitrate, which is not an explosive or an aqueous solution consisting of a homogeneous mixture of 2 or more components in a single phase.</w:t>
            </w:r>
          </w:p>
          <w:p w14:paraId="61821BEE" w14:textId="77777777" w:rsidR="00B83EFE" w:rsidRPr="00B83EFE" w:rsidRDefault="00B83EFE" w:rsidP="00B83EFE">
            <w:pPr>
              <w:keepLines w:val="0"/>
              <w:spacing w:before="0"/>
              <w:jc w:val="left"/>
              <w:rPr>
                <w:rFonts w:eastAsia="Calibri" w:cs="Arial"/>
                <w:lang w:eastAsia="en-US"/>
              </w:rPr>
            </w:pPr>
          </w:p>
          <w:p w14:paraId="61821BF0" w14:textId="77777777" w:rsidR="00B85A1F" w:rsidRPr="00B83EFE" w:rsidRDefault="00B85A1F" w:rsidP="00B83EFE">
            <w:pPr>
              <w:keepLines w:val="0"/>
              <w:spacing w:before="0"/>
              <w:jc w:val="left"/>
              <w:rPr>
                <w:rFonts w:eastAsia="Calibri" w:cs="Arial"/>
                <w:lang w:eastAsia="en-US"/>
              </w:rPr>
            </w:pPr>
          </w:p>
          <w:p w14:paraId="61821BF1"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 65% or pure aqueous solution ≥ 10%</w:t>
            </w:r>
          </w:p>
          <w:p w14:paraId="61821BF2"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All pure aqueous solutions, mixtures with other chemicals ≥15%</w:t>
            </w:r>
          </w:p>
          <w:p w14:paraId="61821BF3"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 30%</w:t>
            </w:r>
          </w:p>
          <w:p w14:paraId="61821BF4"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 xml:space="preserve">≥ 10% </w:t>
            </w:r>
          </w:p>
          <w:p w14:paraId="61821BF5"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 65% or pure aqueous solution ≥ 10%</w:t>
            </w:r>
          </w:p>
          <w:p w14:paraId="61821BF6"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 65% or pure aqueous solution ≥ 10%</w:t>
            </w:r>
          </w:p>
          <w:p w14:paraId="61821BF7"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 65% or pure aqueous solution ≥ 10%</w:t>
            </w:r>
          </w:p>
          <w:p w14:paraId="61821BF8"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 xml:space="preserve">≥ 95% </w:t>
            </w:r>
          </w:p>
          <w:p w14:paraId="61821BF9"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 65% or pure aqueous solution ≥ 10%</w:t>
            </w:r>
          </w:p>
          <w:p w14:paraId="61821BFA"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 65% or pure aqueous solution ≥ 10%</w:t>
            </w:r>
          </w:p>
          <w:p w14:paraId="61821BFC" w14:textId="059CFF4D" w:rsidR="00B83EFE" w:rsidRPr="00B83EFE" w:rsidRDefault="00E9069F" w:rsidP="005B3B08">
            <w:pPr>
              <w:keepLines w:val="0"/>
              <w:spacing w:before="0"/>
              <w:jc w:val="left"/>
              <w:rPr>
                <w:rFonts w:eastAsia="Calibri" w:cs="Arial"/>
                <w:color w:val="000000"/>
              </w:rPr>
            </w:pPr>
            <w:r w:rsidRPr="00B83EFE">
              <w:rPr>
                <w:rFonts w:eastAsia="Calibri" w:cs="Arial"/>
                <w:lang w:eastAsia="en-US"/>
              </w:rPr>
              <w:lastRenderedPageBreak/>
              <w:t>≥ 65% or pure aqueous solution ≥ 10%</w:t>
            </w:r>
          </w:p>
        </w:tc>
      </w:tr>
    </w:tbl>
    <w:p w14:paraId="61821BFE" w14:textId="77777777" w:rsidR="005B3B08" w:rsidRDefault="00E9069F">
      <w:r>
        <w:lastRenderedPageBreak/>
        <w:br w:type="page"/>
      </w:r>
    </w:p>
    <w:tbl>
      <w:tblPr>
        <w:tblStyle w:val="TableGrid"/>
        <w:tblW w:w="9493" w:type="dxa"/>
        <w:tblLook w:val="04A0" w:firstRow="1" w:lastRow="0" w:firstColumn="1" w:lastColumn="0" w:noHBand="0" w:noVBand="1"/>
      </w:tblPr>
      <w:tblGrid>
        <w:gridCol w:w="2830"/>
        <w:gridCol w:w="2693"/>
        <w:gridCol w:w="3970"/>
      </w:tblGrid>
      <w:tr w:rsidR="0059373B" w14:paraId="61821C53" w14:textId="77777777" w:rsidTr="00B83EFE">
        <w:tc>
          <w:tcPr>
            <w:tcW w:w="2830" w:type="dxa"/>
          </w:tcPr>
          <w:p w14:paraId="61821BFF" w14:textId="77777777" w:rsidR="00B83EFE" w:rsidRPr="00B83EFE" w:rsidRDefault="00E9069F" w:rsidP="00B83EFE">
            <w:pPr>
              <w:keepLines w:val="0"/>
              <w:spacing w:before="0"/>
              <w:jc w:val="left"/>
              <w:rPr>
                <w:rFonts w:eastAsia="Calibri" w:cs="Arial"/>
                <w:b/>
                <w:lang w:eastAsia="en-US"/>
              </w:rPr>
            </w:pPr>
            <w:r w:rsidRPr="00B83EFE">
              <w:rPr>
                <w:rFonts w:eastAsia="Calibri" w:cs="Arial"/>
                <w:b/>
                <w:lang w:eastAsia="en-US"/>
              </w:rPr>
              <w:lastRenderedPageBreak/>
              <w:t>84 toxic chemicals</w:t>
            </w:r>
          </w:p>
          <w:p w14:paraId="61821C00"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Aldicarb</w:t>
            </w:r>
            <w:r w:rsidRPr="00B83EFE">
              <w:rPr>
                <w:rFonts w:eastAsia="Calibri" w:cs="Arial"/>
                <w:lang w:eastAsia="en-US"/>
              </w:rPr>
              <w:tab/>
            </w:r>
          </w:p>
          <w:p w14:paraId="61821C01"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Aluminium phosphide</w:t>
            </w:r>
            <w:r w:rsidRPr="00B83EFE">
              <w:rPr>
                <w:rFonts w:eastAsia="Calibri" w:cs="Arial"/>
                <w:lang w:eastAsia="en-US"/>
              </w:rPr>
              <w:tab/>
            </w:r>
          </w:p>
          <w:p w14:paraId="61821C02"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Ammonia (anhydrous)</w:t>
            </w:r>
          </w:p>
          <w:p w14:paraId="61821C03"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Arsenic pentoxide</w:t>
            </w:r>
            <w:r w:rsidRPr="00B83EFE">
              <w:rPr>
                <w:rFonts w:eastAsia="Calibri" w:cs="Arial"/>
                <w:lang w:eastAsia="en-US"/>
              </w:rPr>
              <w:tab/>
            </w:r>
          </w:p>
          <w:p w14:paraId="61821C04"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Arsenic trioxide</w:t>
            </w:r>
            <w:r w:rsidRPr="00B83EFE">
              <w:rPr>
                <w:rFonts w:eastAsia="Calibri" w:cs="Arial"/>
                <w:lang w:eastAsia="en-US"/>
              </w:rPr>
              <w:tab/>
            </w:r>
          </w:p>
          <w:p w14:paraId="61821C05"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Arsine</w:t>
            </w:r>
            <w:r w:rsidRPr="00B83EFE">
              <w:rPr>
                <w:rFonts w:eastAsia="Calibri" w:cs="Arial"/>
                <w:lang w:eastAsia="en-US"/>
              </w:rPr>
              <w:tab/>
            </w:r>
          </w:p>
          <w:p w14:paraId="61821C06" w14:textId="77777777" w:rsidR="00B83EFE" w:rsidRPr="00B83EFE" w:rsidRDefault="00E9069F" w:rsidP="00B83EFE">
            <w:pPr>
              <w:keepLines w:val="0"/>
              <w:spacing w:before="0"/>
              <w:jc w:val="left"/>
              <w:rPr>
                <w:rFonts w:eastAsia="Calibri" w:cs="Arial"/>
                <w:lang w:eastAsia="en-US"/>
              </w:rPr>
            </w:pPr>
            <w:proofErr w:type="spellStart"/>
            <w:r w:rsidRPr="00B83EFE">
              <w:rPr>
                <w:rFonts w:eastAsia="Calibri" w:cs="Arial"/>
                <w:lang w:eastAsia="en-US"/>
              </w:rPr>
              <w:t>Azinphos</w:t>
            </w:r>
            <w:proofErr w:type="spellEnd"/>
            <w:r w:rsidRPr="00B83EFE">
              <w:rPr>
                <w:rFonts w:eastAsia="Calibri" w:cs="Arial"/>
                <w:lang w:eastAsia="en-US"/>
              </w:rPr>
              <w:t xml:space="preserve"> methyl</w:t>
            </w:r>
          </w:p>
          <w:p w14:paraId="61821C07"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Bendiocarb</w:t>
            </w:r>
            <w:r w:rsidRPr="00B83EFE">
              <w:rPr>
                <w:rFonts w:eastAsia="Calibri" w:cs="Arial"/>
                <w:lang w:eastAsia="en-US"/>
              </w:rPr>
              <w:tab/>
            </w:r>
          </w:p>
          <w:p w14:paraId="61821C08"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 xml:space="preserve">Beryllium </w:t>
            </w:r>
            <w:proofErr w:type="spellStart"/>
            <w:r w:rsidRPr="00B83EFE">
              <w:rPr>
                <w:rFonts w:eastAsia="Calibri" w:cs="Arial"/>
                <w:lang w:eastAsia="en-US"/>
              </w:rPr>
              <w:t>sulfate</w:t>
            </w:r>
            <w:proofErr w:type="spellEnd"/>
            <w:r w:rsidRPr="00B83EFE">
              <w:rPr>
                <w:rFonts w:eastAsia="Calibri" w:cs="Arial"/>
                <w:lang w:eastAsia="en-US"/>
              </w:rPr>
              <w:tab/>
            </w:r>
          </w:p>
          <w:p w14:paraId="61821C09"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Bromine</w:t>
            </w:r>
          </w:p>
          <w:p w14:paraId="61821C0A" w14:textId="77777777" w:rsidR="00B83EFE" w:rsidRPr="00B83EFE" w:rsidRDefault="00E9069F" w:rsidP="00B83EFE">
            <w:pPr>
              <w:keepLines w:val="0"/>
              <w:spacing w:before="0"/>
              <w:jc w:val="left"/>
              <w:rPr>
                <w:rFonts w:eastAsia="Calibri" w:cs="Arial"/>
                <w:lang w:val="es-ES_tradnl" w:eastAsia="en-US"/>
              </w:rPr>
            </w:pPr>
            <w:proofErr w:type="spellStart"/>
            <w:r w:rsidRPr="00B83EFE">
              <w:rPr>
                <w:rFonts w:eastAsia="Calibri" w:cs="Arial"/>
                <w:lang w:val="es-ES_tradnl" w:eastAsia="en-US"/>
              </w:rPr>
              <w:t>Cadusafos</w:t>
            </w:r>
            <w:proofErr w:type="spellEnd"/>
            <w:r w:rsidRPr="00B83EFE">
              <w:rPr>
                <w:rFonts w:eastAsia="Calibri" w:cs="Arial"/>
                <w:lang w:val="es-ES_tradnl" w:eastAsia="en-US"/>
              </w:rPr>
              <w:tab/>
            </w:r>
          </w:p>
          <w:p w14:paraId="61821C0B" w14:textId="77777777" w:rsidR="00B83EFE" w:rsidRPr="00B83EFE" w:rsidRDefault="00E9069F" w:rsidP="00B83EFE">
            <w:pPr>
              <w:keepLines w:val="0"/>
              <w:spacing w:before="0"/>
              <w:jc w:val="left"/>
              <w:rPr>
                <w:rFonts w:eastAsia="Calibri" w:cs="Arial"/>
                <w:lang w:val="es-ES_tradnl" w:eastAsia="en-US"/>
              </w:rPr>
            </w:pPr>
            <w:proofErr w:type="spellStart"/>
            <w:r w:rsidRPr="00B83EFE">
              <w:rPr>
                <w:rFonts w:eastAsia="Calibri" w:cs="Arial"/>
                <w:lang w:val="es-ES_tradnl" w:eastAsia="en-US"/>
              </w:rPr>
              <w:t>Calcium</w:t>
            </w:r>
            <w:proofErr w:type="spellEnd"/>
            <w:r w:rsidRPr="00B83EFE">
              <w:rPr>
                <w:rFonts w:eastAsia="Calibri" w:cs="Arial"/>
                <w:lang w:val="es-ES_tradnl" w:eastAsia="en-US"/>
              </w:rPr>
              <w:t xml:space="preserve"> </w:t>
            </w:r>
            <w:proofErr w:type="spellStart"/>
            <w:r w:rsidRPr="00B83EFE">
              <w:rPr>
                <w:rFonts w:eastAsia="Calibri" w:cs="Arial"/>
                <w:lang w:val="es-ES_tradnl" w:eastAsia="en-US"/>
              </w:rPr>
              <w:t>cyanide</w:t>
            </w:r>
            <w:proofErr w:type="spellEnd"/>
            <w:r w:rsidRPr="00B83EFE">
              <w:rPr>
                <w:rFonts w:eastAsia="Calibri" w:cs="Arial"/>
                <w:lang w:val="es-ES_tradnl" w:eastAsia="en-US"/>
              </w:rPr>
              <w:tab/>
            </w:r>
          </w:p>
          <w:p w14:paraId="61821C0C" w14:textId="77777777" w:rsidR="00B83EFE" w:rsidRPr="00B83EFE" w:rsidRDefault="00E9069F" w:rsidP="00B83EFE">
            <w:pPr>
              <w:keepLines w:val="0"/>
              <w:spacing w:before="0"/>
              <w:jc w:val="left"/>
              <w:rPr>
                <w:rFonts w:eastAsia="Calibri" w:cs="Arial"/>
                <w:lang w:val="es-ES_tradnl" w:eastAsia="en-US"/>
              </w:rPr>
            </w:pPr>
            <w:proofErr w:type="spellStart"/>
            <w:r w:rsidRPr="00B83EFE">
              <w:rPr>
                <w:rFonts w:eastAsia="Calibri" w:cs="Arial"/>
                <w:lang w:val="es-ES_tradnl" w:eastAsia="en-US"/>
              </w:rPr>
              <w:t>Carbofuran</w:t>
            </w:r>
            <w:proofErr w:type="spellEnd"/>
            <w:r w:rsidRPr="00B83EFE">
              <w:rPr>
                <w:rFonts w:eastAsia="Calibri" w:cs="Arial"/>
                <w:lang w:val="es-ES_tradnl" w:eastAsia="en-US"/>
              </w:rPr>
              <w:tab/>
            </w:r>
          </w:p>
          <w:p w14:paraId="61821C0D" w14:textId="77777777" w:rsidR="00B83EFE" w:rsidRPr="00B83EFE" w:rsidRDefault="00E9069F" w:rsidP="00B83EFE">
            <w:pPr>
              <w:keepLines w:val="0"/>
              <w:spacing w:before="0"/>
              <w:jc w:val="left"/>
              <w:rPr>
                <w:rFonts w:eastAsia="Calibri" w:cs="Arial"/>
                <w:lang w:val="es-ES_tradnl" w:eastAsia="en-US"/>
              </w:rPr>
            </w:pPr>
            <w:proofErr w:type="spellStart"/>
            <w:r w:rsidRPr="00B83EFE">
              <w:rPr>
                <w:rFonts w:eastAsia="Calibri" w:cs="Arial"/>
                <w:lang w:val="es-ES_tradnl" w:eastAsia="en-US"/>
              </w:rPr>
              <w:t>Carbon</w:t>
            </w:r>
            <w:proofErr w:type="spellEnd"/>
            <w:r w:rsidRPr="00B83EFE">
              <w:rPr>
                <w:rFonts w:eastAsia="Calibri" w:cs="Arial"/>
                <w:lang w:val="es-ES_tradnl" w:eastAsia="en-US"/>
              </w:rPr>
              <w:t xml:space="preserve"> </w:t>
            </w:r>
            <w:proofErr w:type="spellStart"/>
            <w:r w:rsidRPr="00B83EFE">
              <w:rPr>
                <w:rFonts w:eastAsia="Calibri" w:cs="Arial"/>
                <w:lang w:val="es-ES_tradnl" w:eastAsia="en-US"/>
              </w:rPr>
              <w:t>disulphide</w:t>
            </w:r>
            <w:proofErr w:type="spellEnd"/>
            <w:r w:rsidRPr="00B83EFE">
              <w:rPr>
                <w:rFonts w:eastAsia="Calibri" w:cs="Arial"/>
                <w:lang w:val="es-ES_tradnl" w:eastAsia="en-US"/>
              </w:rPr>
              <w:tab/>
            </w:r>
          </w:p>
          <w:p w14:paraId="61821C0E"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Carbon monoxide</w:t>
            </w:r>
            <w:r w:rsidRPr="00B83EFE">
              <w:rPr>
                <w:rFonts w:eastAsia="Calibri" w:cs="Arial"/>
                <w:lang w:eastAsia="en-US"/>
              </w:rPr>
              <w:tab/>
            </w:r>
          </w:p>
          <w:p w14:paraId="61821C0F"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Chloropicrin</w:t>
            </w:r>
            <w:r w:rsidRPr="00B83EFE">
              <w:rPr>
                <w:rFonts w:eastAsia="Calibri" w:cs="Arial"/>
                <w:lang w:eastAsia="en-US"/>
              </w:rPr>
              <w:tab/>
            </w:r>
          </w:p>
          <w:p w14:paraId="61821C10" w14:textId="77777777" w:rsidR="00B83EFE" w:rsidRPr="00B83EFE" w:rsidRDefault="00E9069F" w:rsidP="00B83EFE">
            <w:pPr>
              <w:keepLines w:val="0"/>
              <w:spacing w:before="0"/>
              <w:jc w:val="left"/>
              <w:rPr>
                <w:rFonts w:eastAsia="Calibri" w:cs="Arial"/>
                <w:lang w:eastAsia="en-US"/>
              </w:rPr>
            </w:pPr>
            <w:proofErr w:type="spellStart"/>
            <w:r w:rsidRPr="00B83EFE">
              <w:rPr>
                <w:rFonts w:eastAsia="Calibri" w:cs="Arial"/>
                <w:lang w:eastAsia="en-US"/>
              </w:rPr>
              <w:t>Chlorfenvinphos</w:t>
            </w:r>
            <w:proofErr w:type="spellEnd"/>
            <w:r w:rsidRPr="00B83EFE">
              <w:rPr>
                <w:rFonts w:eastAsia="Calibri" w:cs="Arial"/>
                <w:lang w:eastAsia="en-US"/>
              </w:rPr>
              <w:tab/>
            </w:r>
          </w:p>
          <w:p w14:paraId="61821C11"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Chlorine</w:t>
            </w:r>
            <w:r w:rsidRPr="00B83EFE">
              <w:rPr>
                <w:rFonts w:eastAsia="Calibri" w:cs="Arial"/>
                <w:lang w:eastAsia="en-US"/>
              </w:rPr>
              <w:tab/>
            </w:r>
          </w:p>
          <w:p w14:paraId="61821C12"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Cyanogen bromide</w:t>
            </w:r>
          </w:p>
          <w:p w14:paraId="61821C13" w14:textId="77777777" w:rsidR="00B83EFE" w:rsidRPr="00B83EFE" w:rsidRDefault="00E9069F" w:rsidP="00B83EFE">
            <w:pPr>
              <w:keepLines w:val="0"/>
              <w:spacing w:before="0"/>
              <w:jc w:val="left"/>
              <w:rPr>
                <w:rFonts w:eastAsia="Calibri" w:cs="Arial"/>
                <w:b/>
                <w:lang w:eastAsia="en-US"/>
              </w:rPr>
            </w:pPr>
            <w:r w:rsidRPr="00B83EFE">
              <w:rPr>
                <w:rFonts w:eastAsia="Calibri" w:cs="Arial"/>
                <w:lang w:eastAsia="en-US"/>
              </w:rPr>
              <w:t>Cyanogen chloride</w:t>
            </w:r>
            <w:r w:rsidRPr="00B83EFE">
              <w:rPr>
                <w:rFonts w:eastAsia="Calibri" w:cs="Arial"/>
                <w:b/>
                <w:lang w:eastAsia="en-US"/>
              </w:rPr>
              <w:t xml:space="preserve"> </w:t>
            </w:r>
          </w:p>
          <w:p w14:paraId="61821C14"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Diazinon</w:t>
            </w:r>
            <w:r w:rsidRPr="00B83EFE">
              <w:rPr>
                <w:rFonts w:eastAsia="Calibri" w:cs="Arial"/>
                <w:lang w:eastAsia="en-US"/>
              </w:rPr>
              <w:tab/>
            </w:r>
          </w:p>
          <w:p w14:paraId="61821C15"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Dichlorvos</w:t>
            </w:r>
            <w:r w:rsidRPr="00B83EFE">
              <w:rPr>
                <w:rFonts w:eastAsia="Calibri" w:cs="Arial"/>
                <w:lang w:eastAsia="en-US"/>
              </w:rPr>
              <w:tab/>
            </w:r>
          </w:p>
          <w:p w14:paraId="61821C16"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Diethyl phosphite</w:t>
            </w:r>
            <w:r w:rsidRPr="00B83EFE">
              <w:rPr>
                <w:rFonts w:eastAsia="Calibri" w:cs="Arial"/>
                <w:lang w:eastAsia="en-US"/>
              </w:rPr>
              <w:tab/>
            </w:r>
          </w:p>
          <w:p w14:paraId="61821C17"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Dimethyl phosphite</w:t>
            </w:r>
            <w:r w:rsidRPr="00B83EFE">
              <w:rPr>
                <w:rFonts w:eastAsia="Calibri" w:cs="Arial"/>
                <w:lang w:eastAsia="en-US"/>
              </w:rPr>
              <w:tab/>
            </w:r>
          </w:p>
          <w:p w14:paraId="61821C18"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Dimethyl mercury</w:t>
            </w:r>
            <w:r w:rsidRPr="00B83EFE">
              <w:rPr>
                <w:rFonts w:eastAsia="Calibri" w:cs="Arial"/>
                <w:lang w:eastAsia="en-US"/>
              </w:rPr>
              <w:tab/>
            </w:r>
          </w:p>
          <w:p w14:paraId="61821C19"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 xml:space="preserve">Dimethyl </w:t>
            </w:r>
            <w:proofErr w:type="spellStart"/>
            <w:r w:rsidRPr="00B83EFE">
              <w:rPr>
                <w:rFonts w:eastAsia="Calibri" w:cs="Arial"/>
                <w:lang w:eastAsia="en-US"/>
              </w:rPr>
              <w:t>sulfate</w:t>
            </w:r>
            <w:proofErr w:type="spellEnd"/>
            <w:r w:rsidRPr="00B83EFE">
              <w:rPr>
                <w:rFonts w:eastAsia="Calibri" w:cs="Arial"/>
                <w:lang w:eastAsia="en-US"/>
              </w:rPr>
              <w:tab/>
            </w:r>
          </w:p>
          <w:p w14:paraId="61821C1B" w14:textId="72FAF1D4" w:rsidR="00B83EFE" w:rsidRPr="00B83EFE" w:rsidRDefault="00E9069F" w:rsidP="00B83EFE">
            <w:pPr>
              <w:keepLines w:val="0"/>
              <w:spacing w:before="0"/>
              <w:jc w:val="left"/>
              <w:rPr>
                <w:rFonts w:eastAsia="Calibri" w:cs="Arial"/>
                <w:b/>
                <w:lang w:eastAsia="en-US"/>
              </w:rPr>
            </w:pPr>
            <w:proofErr w:type="spellStart"/>
            <w:r w:rsidRPr="00B83EFE">
              <w:rPr>
                <w:rFonts w:eastAsia="Calibri" w:cs="Arial"/>
                <w:lang w:eastAsia="en-US"/>
              </w:rPr>
              <w:t>Disulfoton</w:t>
            </w:r>
            <w:proofErr w:type="spellEnd"/>
          </w:p>
        </w:tc>
        <w:tc>
          <w:tcPr>
            <w:tcW w:w="2693" w:type="dxa"/>
          </w:tcPr>
          <w:p w14:paraId="61821C1C" w14:textId="77777777" w:rsidR="00B83EFE" w:rsidRDefault="00B83EFE" w:rsidP="00B83EFE">
            <w:pPr>
              <w:keepLines w:val="0"/>
              <w:spacing w:before="0"/>
              <w:jc w:val="left"/>
              <w:rPr>
                <w:rFonts w:eastAsia="Calibri" w:cs="Arial"/>
                <w:lang w:eastAsia="en-US"/>
              </w:rPr>
            </w:pPr>
          </w:p>
          <w:p w14:paraId="61821C1D" w14:textId="77777777" w:rsidR="00B83EFE" w:rsidRPr="00B83EFE" w:rsidRDefault="00E9069F" w:rsidP="00B83EFE">
            <w:pPr>
              <w:keepLines w:val="0"/>
              <w:spacing w:before="0"/>
              <w:jc w:val="left"/>
              <w:rPr>
                <w:rFonts w:eastAsia="Calibri" w:cs="Arial"/>
                <w:lang w:eastAsia="en-US"/>
              </w:rPr>
            </w:pPr>
            <w:proofErr w:type="spellStart"/>
            <w:r w:rsidRPr="00B83EFE">
              <w:rPr>
                <w:rFonts w:eastAsia="Calibri" w:cs="Arial"/>
                <w:lang w:eastAsia="en-US"/>
              </w:rPr>
              <w:t>Endosulfan</w:t>
            </w:r>
            <w:proofErr w:type="spellEnd"/>
            <w:r w:rsidRPr="00B83EFE">
              <w:rPr>
                <w:rFonts w:eastAsia="Calibri" w:cs="Arial"/>
                <w:lang w:eastAsia="en-US"/>
              </w:rPr>
              <w:tab/>
            </w:r>
          </w:p>
          <w:p w14:paraId="61821C1E" w14:textId="77777777" w:rsidR="00B83EFE" w:rsidRPr="00B83EFE" w:rsidRDefault="00E9069F" w:rsidP="00B83EFE">
            <w:pPr>
              <w:keepLines w:val="0"/>
              <w:spacing w:before="0"/>
              <w:jc w:val="left"/>
              <w:rPr>
                <w:rFonts w:eastAsia="Calibri" w:cs="Arial"/>
                <w:b/>
                <w:lang w:eastAsia="en-US"/>
              </w:rPr>
            </w:pPr>
            <w:r w:rsidRPr="00B83EFE">
              <w:rPr>
                <w:rFonts w:eastAsia="Calibri" w:cs="Arial"/>
                <w:lang w:eastAsia="en-US"/>
              </w:rPr>
              <w:t>Ethion</w:t>
            </w:r>
            <w:r w:rsidRPr="00B83EFE">
              <w:rPr>
                <w:rFonts w:eastAsia="Calibri" w:cs="Arial"/>
                <w:lang w:eastAsia="en-US"/>
              </w:rPr>
              <w:tab/>
            </w:r>
            <w:r w:rsidRPr="00B83EFE">
              <w:rPr>
                <w:rFonts w:eastAsia="Calibri" w:cs="Arial"/>
                <w:b/>
                <w:lang w:eastAsia="en-US"/>
              </w:rPr>
              <w:tab/>
            </w:r>
            <w:r w:rsidRPr="00B83EFE">
              <w:rPr>
                <w:rFonts w:eastAsia="Calibri" w:cs="Arial"/>
                <w:b/>
                <w:color w:val="000000"/>
              </w:rPr>
              <w:tab/>
            </w:r>
          </w:p>
          <w:p w14:paraId="61821C1F"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Ethyl mercury chloride</w:t>
            </w:r>
          </w:p>
          <w:p w14:paraId="61821C20" w14:textId="77777777" w:rsidR="00B83EFE" w:rsidRPr="00B83EFE" w:rsidRDefault="00E9069F" w:rsidP="00B83EFE">
            <w:pPr>
              <w:keepLines w:val="0"/>
              <w:spacing w:before="0"/>
              <w:jc w:val="left"/>
              <w:rPr>
                <w:rFonts w:eastAsia="Calibri" w:cs="Arial"/>
                <w:lang w:eastAsia="en-US"/>
              </w:rPr>
            </w:pPr>
            <w:proofErr w:type="spellStart"/>
            <w:r w:rsidRPr="00B83EFE">
              <w:rPr>
                <w:rFonts w:eastAsia="Calibri" w:cs="Arial"/>
                <w:lang w:eastAsia="en-US"/>
              </w:rPr>
              <w:t>Ethyldiethanolamine</w:t>
            </w:r>
            <w:proofErr w:type="spellEnd"/>
          </w:p>
          <w:p w14:paraId="61821C21"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Hydrochloric acid</w:t>
            </w:r>
            <w:r w:rsidRPr="00B83EFE">
              <w:rPr>
                <w:rFonts w:eastAsia="Calibri" w:cs="Arial"/>
                <w:lang w:eastAsia="en-US"/>
              </w:rPr>
              <w:tab/>
            </w:r>
          </w:p>
          <w:p w14:paraId="61821C22" w14:textId="77777777" w:rsidR="00B83EFE" w:rsidRPr="00B83EFE" w:rsidRDefault="00E9069F" w:rsidP="00B83EFE">
            <w:pPr>
              <w:keepLines w:val="0"/>
              <w:spacing w:before="0"/>
              <w:jc w:val="left"/>
              <w:rPr>
                <w:rFonts w:eastAsia="Calibri" w:cs="Arial"/>
                <w:lang w:val="es-ES_tradnl" w:eastAsia="en-US"/>
              </w:rPr>
            </w:pPr>
            <w:proofErr w:type="spellStart"/>
            <w:r w:rsidRPr="00B83EFE">
              <w:rPr>
                <w:rFonts w:eastAsia="Calibri" w:cs="Arial"/>
                <w:lang w:val="es-ES_tradnl" w:eastAsia="en-US"/>
              </w:rPr>
              <w:t>Hydrogen</w:t>
            </w:r>
            <w:proofErr w:type="spellEnd"/>
            <w:r w:rsidRPr="00B83EFE">
              <w:rPr>
                <w:rFonts w:eastAsia="Calibri" w:cs="Arial"/>
                <w:lang w:val="es-ES_tradnl" w:eastAsia="en-US"/>
              </w:rPr>
              <w:t xml:space="preserve"> </w:t>
            </w:r>
            <w:proofErr w:type="spellStart"/>
            <w:r w:rsidRPr="00B83EFE">
              <w:rPr>
                <w:rFonts w:eastAsia="Calibri" w:cs="Arial"/>
                <w:lang w:val="es-ES_tradnl" w:eastAsia="en-US"/>
              </w:rPr>
              <w:t>chloride</w:t>
            </w:r>
            <w:proofErr w:type="spellEnd"/>
            <w:r w:rsidRPr="00B83EFE">
              <w:rPr>
                <w:rFonts w:eastAsia="Calibri" w:cs="Arial"/>
                <w:lang w:val="es-ES_tradnl" w:eastAsia="en-US"/>
              </w:rPr>
              <w:tab/>
            </w:r>
          </w:p>
          <w:p w14:paraId="61821C23" w14:textId="77777777" w:rsidR="00B83EFE" w:rsidRPr="00B83EFE" w:rsidRDefault="00E9069F" w:rsidP="00B83EFE">
            <w:pPr>
              <w:keepLines w:val="0"/>
              <w:spacing w:before="0"/>
              <w:jc w:val="left"/>
              <w:rPr>
                <w:rFonts w:eastAsia="Calibri" w:cs="Arial"/>
                <w:lang w:val="es-ES_tradnl" w:eastAsia="en-US"/>
              </w:rPr>
            </w:pPr>
            <w:proofErr w:type="spellStart"/>
            <w:r w:rsidRPr="00B83EFE">
              <w:rPr>
                <w:rFonts w:eastAsia="Calibri" w:cs="Arial"/>
                <w:lang w:val="es-ES_tradnl" w:eastAsia="en-US"/>
              </w:rPr>
              <w:t>Hydrogen</w:t>
            </w:r>
            <w:proofErr w:type="spellEnd"/>
            <w:r w:rsidRPr="00B83EFE">
              <w:rPr>
                <w:rFonts w:eastAsia="Calibri" w:cs="Arial"/>
                <w:lang w:val="es-ES_tradnl" w:eastAsia="en-US"/>
              </w:rPr>
              <w:t xml:space="preserve"> </w:t>
            </w:r>
            <w:proofErr w:type="spellStart"/>
            <w:r w:rsidRPr="00B83EFE">
              <w:rPr>
                <w:rFonts w:eastAsia="Calibri" w:cs="Arial"/>
                <w:lang w:val="es-ES_tradnl" w:eastAsia="en-US"/>
              </w:rPr>
              <w:t>cyanide</w:t>
            </w:r>
            <w:proofErr w:type="spellEnd"/>
            <w:r w:rsidRPr="00B83EFE">
              <w:rPr>
                <w:rFonts w:eastAsia="Calibri" w:cs="Arial"/>
                <w:lang w:val="es-ES_tradnl" w:eastAsia="en-US"/>
              </w:rPr>
              <w:tab/>
            </w:r>
          </w:p>
          <w:p w14:paraId="61821C24"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Hydrogen sulphide</w:t>
            </w:r>
          </w:p>
          <w:p w14:paraId="61821C25"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Magnesium phosphide</w:t>
            </w:r>
          </w:p>
          <w:p w14:paraId="61821C26" w14:textId="77777777" w:rsidR="00B83EFE" w:rsidRPr="00B83EFE" w:rsidRDefault="00E9069F" w:rsidP="00B83EFE">
            <w:pPr>
              <w:keepLines w:val="0"/>
              <w:spacing w:before="0"/>
              <w:jc w:val="left"/>
              <w:rPr>
                <w:rFonts w:eastAsia="Calibri" w:cs="Arial"/>
                <w:color w:val="000000"/>
              </w:rPr>
            </w:pPr>
            <w:r w:rsidRPr="00B83EFE">
              <w:rPr>
                <w:rFonts w:eastAsia="Calibri" w:cs="Arial"/>
                <w:lang w:eastAsia="en-US"/>
              </w:rPr>
              <w:t>Mercuric chloride</w:t>
            </w:r>
            <w:r w:rsidRPr="00B83EFE">
              <w:rPr>
                <w:rFonts w:eastAsia="Calibri" w:cs="Arial"/>
                <w:color w:val="000000"/>
              </w:rPr>
              <w:tab/>
            </w:r>
          </w:p>
          <w:p w14:paraId="61821C27"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Mercuric nitrate</w:t>
            </w:r>
            <w:r w:rsidRPr="00B83EFE">
              <w:rPr>
                <w:rFonts w:eastAsia="Calibri" w:cs="Arial"/>
                <w:lang w:eastAsia="en-US"/>
              </w:rPr>
              <w:tab/>
            </w:r>
          </w:p>
          <w:p w14:paraId="61821C28"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Mercuric oxide</w:t>
            </w:r>
            <w:r w:rsidRPr="00B83EFE">
              <w:rPr>
                <w:rFonts w:eastAsia="Calibri" w:cs="Arial"/>
                <w:lang w:eastAsia="en-US"/>
              </w:rPr>
              <w:tab/>
            </w:r>
          </w:p>
          <w:p w14:paraId="61821C29"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Mercurous nitrate</w:t>
            </w:r>
          </w:p>
          <w:p w14:paraId="61821C2A"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Mercury cyanide</w:t>
            </w:r>
            <w:r w:rsidRPr="00B83EFE">
              <w:rPr>
                <w:rFonts w:eastAsia="Calibri" w:cs="Arial"/>
                <w:lang w:eastAsia="en-US"/>
              </w:rPr>
              <w:tab/>
            </w:r>
          </w:p>
          <w:p w14:paraId="61821C2B" w14:textId="77777777" w:rsidR="00B83EFE" w:rsidRPr="00B83EFE" w:rsidRDefault="00E9069F" w:rsidP="00B83EFE">
            <w:pPr>
              <w:keepLines w:val="0"/>
              <w:spacing w:before="0"/>
              <w:jc w:val="left"/>
              <w:rPr>
                <w:rFonts w:eastAsia="Calibri" w:cs="Arial"/>
                <w:lang w:eastAsia="en-US"/>
              </w:rPr>
            </w:pPr>
            <w:proofErr w:type="spellStart"/>
            <w:r w:rsidRPr="00B83EFE">
              <w:rPr>
                <w:rFonts w:eastAsia="Calibri" w:cs="Arial"/>
                <w:lang w:eastAsia="en-US"/>
              </w:rPr>
              <w:t>Methamidophos</w:t>
            </w:r>
            <w:proofErr w:type="spellEnd"/>
            <w:r w:rsidRPr="00B83EFE">
              <w:rPr>
                <w:rFonts w:eastAsia="Calibri" w:cs="Arial"/>
                <w:lang w:eastAsia="en-US"/>
              </w:rPr>
              <w:tab/>
            </w:r>
          </w:p>
          <w:p w14:paraId="61821C2C"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Methidathion</w:t>
            </w:r>
            <w:r w:rsidRPr="00B83EFE">
              <w:rPr>
                <w:rFonts w:eastAsia="Calibri" w:cs="Arial"/>
                <w:lang w:eastAsia="en-US"/>
              </w:rPr>
              <w:tab/>
            </w:r>
          </w:p>
          <w:p w14:paraId="61821C2D"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Methiocarb</w:t>
            </w:r>
            <w:r w:rsidRPr="00B83EFE">
              <w:rPr>
                <w:rFonts w:eastAsia="Calibri" w:cs="Arial"/>
                <w:lang w:eastAsia="en-US"/>
              </w:rPr>
              <w:tab/>
            </w:r>
          </w:p>
          <w:p w14:paraId="61821C2E"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Methomyl</w:t>
            </w:r>
            <w:r w:rsidRPr="00B83EFE">
              <w:rPr>
                <w:rFonts w:eastAsia="Calibri" w:cs="Arial"/>
                <w:lang w:eastAsia="en-US"/>
              </w:rPr>
              <w:tab/>
            </w:r>
          </w:p>
          <w:p w14:paraId="61821C2F"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Methyl fluoroacetate</w:t>
            </w:r>
            <w:r w:rsidRPr="00B83EFE">
              <w:rPr>
                <w:rFonts w:eastAsia="Calibri" w:cs="Arial"/>
                <w:lang w:eastAsia="en-US"/>
              </w:rPr>
              <w:tab/>
            </w:r>
          </w:p>
          <w:p w14:paraId="61821C30" w14:textId="77777777" w:rsidR="00B83EFE" w:rsidRPr="00B83EFE" w:rsidRDefault="00E9069F" w:rsidP="00B83EFE">
            <w:pPr>
              <w:keepLines w:val="0"/>
              <w:spacing w:before="0"/>
              <w:jc w:val="left"/>
              <w:rPr>
                <w:rFonts w:eastAsia="Calibri" w:cs="Arial"/>
                <w:lang w:eastAsia="en-US"/>
              </w:rPr>
            </w:pPr>
            <w:proofErr w:type="spellStart"/>
            <w:r w:rsidRPr="00B83EFE">
              <w:rPr>
                <w:rFonts w:eastAsia="Calibri" w:cs="Arial"/>
                <w:lang w:eastAsia="en-US"/>
              </w:rPr>
              <w:t>Methyldiethanolamine</w:t>
            </w:r>
            <w:proofErr w:type="spellEnd"/>
          </w:p>
          <w:p w14:paraId="61821C31" w14:textId="77777777" w:rsidR="00B83EFE" w:rsidRPr="00B83EFE" w:rsidRDefault="00E9069F" w:rsidP="00B83EFE">
            <w:pPr>
              <w:keepLines w:val="0"/>
              <w:spacing w:before="0"/>
              <w:jc w:val="left"/>
              <w:rPr>
                <w:rFonts w:eastAsia="Calibri" w:cs="Arial"/>
                <w:lang w:eastAsia="en-US"/>
              </w:rPr>
            </w:pPr>
            <w:proofErr w:type="spellStart"/>
            <w:r w:rsidRPr="00B83EFE">
              <w:rPr>
                <w:rFonts w:eastAsia="Calibri" w:cs="Arial"/>
                <w:lang w:eastAsia="en-US"/>
              </w:rPr>
              <w:t>Mevinphos</w:t>
            </w:r>
            <w:proofErr w:type="spellEnd"/>
          </w:p>
          <w:p w14:paraId="61821C32"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 xml:space="preserve">Nitric oxide </w:t>
            </w:r>
          </w:p>
          <w:p w14:paraId="61821C33"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Omethoate</w:t>
            </w:r>
            <w:r w:rsidRPr="00B83EFE">
              <w:rPr>
                <w:rFonts w:eastAsia="Calibri" w:cs="Arial"/>
                <w:lang w:eastAsia="en-US"/>
              </w:rPr>
              <w:tab/>
            </w:r>
          </w:p>
          <w:p w14:paraId="61821C34" w14:textId="77777777" w:rsidR="00B83EFE" w:rsidRPr="00B83EFE" w:rsidRDefault="00E9069F" w:rsidP="00B83EFE">
            <w:pPr>
              <w:keepLines w:val="0"/>
              <w:spacing w:before="0"/>
              <w:jc w:val="left"/>
              <w:rPr>
                <w:rFonts w:eastAsia="Calibri" w:cs="Arial"/>
                <w:lang w:eastAsia="en-US"/>
              </w:rPr>
            </w:pPr>
            <w:r w:rsidRPr="00B83EFE">
              <w:rPr>
                <w:rFonts w:eastAsia="Calibri" w:cs="Arial"/>
                <w:lang w:eastAsia="en-US"/>
              </w:rPr>
              <w:t>Osmium tetroxide</w:t>
            </w:r>
            <w:r w:rsidRPr="00B83EFE">
              <w:rPr>
                <w:rFonts w:eastAsia="Calibri" w:cs="Arial"/>
                <w:lang w:eastAsia="en-US"/>
              </w:rPr>
              <w:tab/>
            </w:r>
          </w:p>
          <w:p w14:paraId="61821C35" w14:textId="77777777" w:rsidR="00B83EFE" w:rsidRPr="00B83EFE" w:rsidRDefault="00E9069F" w:rsidP="00B83EFE">
            <w:pPr>
              <w:keepLines w:val="0"/>
              <w:spacing w:before="0"/>
              <w:jc w:val="left"/>
              <w:rPr>
                <w:rFonts w:eastAsia="Calibri" w:cs="Arial"/>
                <w:lang w:eastAsia="en-US"/>
              </w:rPr>
            </w:pPr>
            <w:proofErr w:type="spellStart"/>
            <w:r w:rsidRPr="00B83EFE">
              <w:rPr>
                <w:rFonts w:eastAsia="Calibri" w:cs="Arial"/>
                <w:lang w:eastAsia="en-US"/>
              </w:rPr>
              <w:t>Oxamyl</w:t>
            </w:r>
            <w:proofErr w:type="spellEnd"/>
          </w:p>
          <w:p w14:paraId="61821C36" w14:textId="77777777" w:rsidR="00B83EFE" w:rsidRDefault="00E9069F" w:rsidP="00B83EFE">
            <w:pPr>
              <w:keepLines w:val="0"/>
              <w:spacing w:before="0"/>
              <w:jc w:val="left"/>
              <w:rPr>
                <w:rFonts w:eastAsia="Calibri" w:cs="Arial"/>
                <w:color w:val="000000"/>
              </w:rPr>
            </w:pPr>
            <w:r w:rsidRPr="00B83EFE">
              <w:rPr>
                <w:rFonts w:eastAsia="Calibri" w:cs="Arial"/>
                <w:color w:val="000000"/>
              </w:rPr>
              <w:t xml:space="preserve">Paraquat </w:t>
            </w:r>
          </w:p>
          <w:p w14:paraId="61821C37"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Parathion methyl</w:t>
            </w:r>
          </w:p>
        </w:tc>
        <w:tc>
          <w:tcPr>
            <w:tcW w:w="3970" w:type="dxa"/>
          </w:tcPr>
          <w:p w14:paraId="61821C38" w14:textId="77777777" w:rsidR="00B83EFE" w:rsidRDefault="00B83EFE" w:rsidP="00B83EFE">
            <w:pPr>
              <w:keepLines w:val="0"/>
              <w:spacing w:before="0"/>
              <w:jc w:val="left"/>
              <w:rPr>
                <w:rFonts w:eastAsia="Calibri" w:cs="Arial"/>
                <w:lang w:eastAsia="en-US"/>
              </w:rPr>
            </w:pPr>
          </w:p>
          <w:p w14:paraId="61821C39"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 xml:space="preserve">Perchloric acid </w:t>
            </w:r>
            <w:r w:rsidRPr="00B83EFE">
              <w:rPr>
                <w:rFonts w:eastAsia="Calibri" w:cs="Arial"/>
                <w:color w:val="000000"/>
              </w:rPr>
              <w:tab/>
            </w:r>
          </w:p>
          <w:p w14:paraId="61821C3A" w14:textId="77777777" w:rsidR="00B83EFE" w:rsidRPr="00B83EFE" w:rsidRDefault="00E9069F" w:rsidP="00B83EFE">
            <w:pPr>
              <w:keepLines w:val="0"/>
              <w:spacing w:before="0"/>
              <w:jc w:val="left"/>
              <w:rPr>
                <w:rFonts w:eastAsia="Calibri" w:cs="Arial"/>
                <w:color w:val="000000"/>
              </w:rPr>
            </w:pPr>
            <w:proofErr w:type="spellStart"/>
            <w:r w:rsidRPr="00B83EFE">
              <w:rPr>
                <w:rFonts w:eastAsia="Calibri" w:cs="Arial"/>
                <w:color w:val="000000"/>
              </w:rPr>
              <w:t>Phorate</w:t>
            </w:r>
            <w:proofErr w:type="spellEnd"/>
            <w:r w:rsidRPr="00B83EFE">
              <w:rPr>
                <w:rFonts w:eastAsia="Calibri" w:cs="Arial"/>
                <w:color w:val="000000"/>
              </w:rPr>
              <w:tab/>
            </w:r>
          </w:p>
          <w:p w14:paraId="61821C3B"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Phosgene</w:t>
            </w:r>
            <w:r w:rsidRPr="00B83EFE">
              <w:rPr>
                <w:rFonts w:eastAsia="Calibri" w:cs="Arial"/>
                <w:color w:val="000000"/>
              </w:rPr>
              <w:tab/>
            </w:r>
          </w:p>
          <w:p w14:paraId="61821C3C"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Phosphine</w:t>
            </w:r>
            <w:r w:rsidRPr="00B83EFE">
              <w:rPr>
                <w:rFonts w:eastAsia="Calibri" w:cs="Arial"/>
                <w:color w:val="000000"/>
              </w:rPr>
              <w:tab/>
            </w:r>
          </w:p>
          <w:p w14:paraId="61821C3D"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Phosphorus</w:t>
            </w:r>
            <w:r w:rsidRPr="00B83EFE">
              <w:rPr>
                <w:rFonts w:eastAsia="Calibri" w:cs="Arial"/>
                <w:color w:val="000000"/>
              </w:rPr>
              <w:tab/>
            </w:r>
          </w:p>
          <w:p w14:paraId="61821C3E"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Phosphorus oxychloride</w:t>
            </w:r>
          </w:p>
          <w:p w14:paraId="61821C3F"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Phosphorus pentachloride</w:t>
            </w:r>
          </w:p>
          <w:p w14:paraId="61821C40"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Phosphorus trichloride</w:t>
            </w:r>
          </w:p>
          <w:p w14:paraId="61821C41"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 xml:space="preserve">Potassium cyanide </w:t>
            </w:r>
            <w:r w:rsidRPr="00B83EFE">
              <w:rPr>
                <w:rFonts w:eastAsia="Calibri" w:cs="Arial"/>
                <w:color w:val="000000"/>
              </w:rPr>
              <w:tab/>
            </w:r>
          </w:p>
          <w:p w14:paraId="61821C42"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 xml:space="preserve">Propoxur </w:t>
            </w:r>
          </w:p>
          <w:p w14:paraId="61821C43"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Sodium cyanide</w:t>
            </w:r>
            <w:r w:rsidRPr="00B83EFE">
              <w:rPr>
                <w:rFonts w:eastAsia="Calibri" w:cs="Arial"/>
                <w:color w:val="000000"/>
              </w:rPr>
              <w:tab/>
            </w:r>
          </w:p>
          <w:p w14:paraId="61821C44"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Sodium fluoroacetate</w:t>
            </w:r>
            <w:r w:rsidRPr="00B83EFE">
              <w:rPr>
                <w:rFonts w:eastAsia="Calibri" w:cs="Arial"/>
                <w:color w:val="000000"/>
              </w:rPr>
              <w:tab/>
            </w:r>
          </w:p>
          <w:p w14:paraId="61821C45"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Strychnine</w:t>
            </w:r>
            <w:r w:rsidRPr="00B83EFE">
              <w:rPr>
                <w:rFonts w:eastAsia="Calibri" w:cs="Arial"/>
                <w:color w:val="000000"/>
              </w:rPr>
              <w:tab/>
            </w:r>
          </w:p>
          <w:p w14:paraId="61821C46" w14:textId="77777777" w:rsidR="00B83EFE" w:rsidRPr="00B83EFE" w:rsidRDefault="00E9069F" w:rsidP="00B83EFE">
            <w:pPr>
              <w:keepLines w:val="0"/>
              <w:spacing w:before="0"/>
              <w:jc w:val="left"/>
              <w:rPr>
                <w:rFonts w:eastAsia="Calibri" w:cs="Arial"/>
                <w:color w:val="000000"/>
              </w:rPr>
            </w:pPr>
            <w:proofErr w:type="spellStart"/>
            <w:r w:rsidRPr="00B83EFE">
              <w:rPr>
                <w:rFonts w:eastAsia="Calibri" w:cs="Arial"/>
                <w:color w:val="000000"/>
              </w:rPr>
              <w:t>Sulfur</w:t>
            </w:r>
            <w:proofErr w:type="spellEnd"/>
            <w:r w:rsidRPr="00B83EFE">
              <w:rPr>
                <w:rFonts w:eastAsia="Calibri" w:cs="Arial"/>
                <w:color w:val="000000"/>
              </w:rPr>
              <w:t xml:space="preserve"> dichloride</w:t>
            </w:r>
            <w:r w:rsidRPr="00B83EFE">
              <w:rPr>
                <w:rFonts w:eastAsia="Calibri" w:cs="Arial"/>
                <w:color w:val="000000"/>
              </w:rPr>
              <w:tab/>
            </w:r>
          </w:p>
          <w:p w14:paraId="61821C47" w14:textId="77777777" w:rsidR="00B83EFE" w:rsidRPr="00B83EFE" w:rsidRDefault="00E9069F" w:rsidP="00B83EFE">
            <w:pPr>
              <w:keepLines w:val="0"/>
              <w:spacing w:before="0"/>
              <w:jc w:val="left"/>
              <w:rPr>
                <w:rFonts w:eastAsia="Calibri" w:cs="Arial"/>
                <w:color w:val="000000"/>
              </w:rPr>
            </w:pPr>
            <w:proofErr w:type="spellStart"/>
            <w:r w:rsidRPr="00B83EFE">
              <w:rPr>
                <w:rFonts w:eastAsia="Calibri" w:cs="Arial"/>
                <w:color w:val="000000"/>
              </w:rPr>
              <w:t>Sulfur</w:t>
            </w:r>
            <w:proofErr w:type="spellEnd"/>
            <w:r w:rsidRPr="00B83EFE">
              <w:rPr>
                <w:rFonts w:eastAsia="Calibri" w:cs="Arial"/>
                <w:color w:val="000000"/>
              </w:rPr>
              <w:t xml:space="preserve"> monochloride</w:t>
            </w:r>
            <w:r w:rsidRPr="00B83EFE">
              <w:rPr>
                <w:rFonts w:eastAsia="Calibri" w:cs="Arial"/>
                <w:color w:val="000000"/>
              </w:rPr>
              <w:tab/>
            </w:r>
          </w:p>
          <w:p w14:paraId="61821C48"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Sulphuric acid</w:t>
            </w:r>
            <w:r w:rsidRPr="00B83EFE">
              <w:rPr>
                <w:rFonts w:eastAsia="Calibri" w:cs="Arial"/>
                <w:color w:val="000000"/>
              </w:rPr>
              <w:tab/>
            </w:r>
          </w:p>
          <w:p w14:paraId="61821C49" w14:textId="77777777" w:rsidR="00B83EFE" w:rsidRPr="00B83EFE" w:rsidRDefault="00E9069F" w:rsidP="00B83EFE">
            <w:pPr>
              <w:keepLines w:val="0"/>
              <w:spacing w:before="0"/>
              <w:jc w:val="left"/>
              <w:rPr>
                <w:rFonts w:eastAsia="Calibri" w:cs="Arial"/>
                <w:color w:val="000000"/>
              </w:rPr>
            </w:pPr>
            <w:proofErr w:type="spellStart"/>
            <w:r w:rsidRPr="00B83EFE">
              <w:rPr>
                <w:rFonts w:eastAsia="Calibri" w:cs="Arial"/>
                <w:color w:val="000000"/>
              </w:rPr>
              <w:t>Terbufos</w:t>
            </w:r>
            <w:proofErr w:type="spellEnd"/>
            <w:r w:rsidRPr="00B83EFE">
              <w:rPr>
                <w:rFonts w:eastAsia="Calibri" w:cs="Arial"/>
                <w:color w:val="000000"/>
              </w:rPr>
              <w:tab/>
            </w:r>
          </w:p>
          <w:p w14:paraId="61821C4A"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 xml:space="preserve">Thallium </w:t>
            </w:r>
            <w:proofErr w:type="spellStart"/>
            <w:r w:rsidRPr="00B83EFE">
              <w:rPr>
                <w:rFonts w:eastAsia="Calibri" w:cs="Arial"/>
                <w:color w:val="000000"/>
              </w:rPr>
              <w:t>sulfate</w:t>
            </w:r>
            <w:proofErr w:type="spellEnd"/>
            <w:r w:rsidRPr="00B83EFE">
              <w:rPr>
                <w:rFonts w:eastAsia="Calibri" w:cs="Arial"/>
                <w:color w:val="000000"/>
              </w:rPr>
              <w:tab/>
            </w:r>
          </w:p>
          <w:p w14:paraId="61821C4B"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Thionyl chloride</w:t>
            </w:r>
            <w:r w:rsidRPr="00B83EFE">
              <w:rPr>
                <w:rFonts w:eastAsia="Calibri" w:cs="Arial"/>
                <w:color w:val="000000"/>
              </w:rPr>
              <w:tab/>
            </w:r>
          </w:p>
          <w:p w14:paraId="61821C4C" w14:textId="77777777" w:rsidR="00B83EFE" w:rsidRPr="00B83EFE" w:rsidRDefault="00E9069F" w:rsidP="00B83EFE">
            <w:pPr>
              <w:keepLines w:val="0"/>
              <w:spacing w:before="0"/>
              <w:jc w:val="left"/>
              <w:rPr>
                <w:rFonts w:eastAsia="Calibri" w:cs="Arial"/>
                <w:color w:val="000000"/>
              </w:rPr>
            </w:pPr>
            <w:proofErr w:type="spellStart"/>
            <w:r w:rsidRPr="00B83EFE">
              <w:rPr>
                <w:rFonts w:eastAsia="Calibri" w:cs="Arial"/>
                <w:color w:val="000000"/>
              </w:rPr>
              <w:t>Thiophosphoryl</w:t>
            </w:r>
            <w:proofErr w:type="spellEnd"/>
            <w:r w:rsidRPr="00B83EFE">
              <w:rPr>
                <w:rFonts w:eastAsia="Calibri" w:cs="Arial"/>
                <w:color w:val="000000"/>
              </w:rPr>
              <w:t xml:space="preserve"> chloride</w:t>
            </w:r>
          </w:p>
          <w:p w14:paraId="61821C4D"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Triethanolamine</w:t>
            </w:r>
            <w:r w:rsidRPr="00B83EFE">
              <w:rPr>
                <w:rFonts w:eastAsia="Calibri" w:cs="Arial"/>
                <w:color w:val="000000"/>
              </w:rPr>
              <w:tab/>
            </w:r>
          </w:p>
          <w:p w14:paraId="61821C4E"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Triethyl phosphite</w:t>
            </w:r>
            <w:r w:rsidRPr="00B83EFE">
              <w:rPr>
                <w:rFonts w:eastAsia="Calibri" w:cs="Arial"/>
                <w:color w:val="000000"/>
              </w:rPr>
              <w:tab/>
            </w:r>
          </w:p>
          <w:p w14:paraId="61821C4F"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Trimethyl phosphite</w:t>
            </w:r>
            <w:r w:rsidRPr="00B83EFE">
              <w:rPr>
                <w:rFonts w:eastAsia="Calibri" w:cs="Arial"/>
                <w:color w:val="000000"/>
              </w:rPr>
              <w:tab/>
            </w:r>
          </w:p>
          <w:p w14:paraId="61821C50"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 xml:space="preserve">Zinc cyanide </w:t>
            </w:r>
            <w:r w:rsidRPr="00B83EFE">
              <w:rPr>
                <w:rFonts w:eastAsia="Calibri" w:cs="Arial"/>
                <w:color w:val="000000"/>
              </w:rPr>
              <w:tab/>
            </w:r>
          </w:p>
          <w:p w14:paraId="61821C51" w14:textId="77777777" w:rsidR="00B83EFE" w:rsidRPr="00B83EFE" w:rsidRDefault="00E9069F" w:rsidP="00B83EFE">
            <w:pPr>
              <w:keepLines w:val="0"/>
              <w:spacing w:before="0"/>
              <w:jc w:val="left"/>
              <w:rPr>
                <w:rFonts w:eastAsia="Calibri" w:cs="Arial"/>
                <w:color w:val="000000"/>
              </w:rPr>
            </w:pPr>
            <w:r w:rsidRPr="00B83EFE">
              <w:rPr>
                <w:rFonts w:eastAsia="Calibri" w:cs="Arial"/>
                <w:color w:val="000000"/>
              </w:rPr>
              <w:t>Zinc phosphide</w:t>
            </w:r>
          </w:p>
          <w:p w14:paraId="61821C52" w14:textId="77777777" w:rsidR="00B83EFE" w:rsidRPr="00B83EFE" w:rsidRDefault="00B83EFE" w:rsidP="00EF17D7">
            <w:pPr>
              <w:keepLines w:val="0"/>
              <w:spacing w:before="0"/>
              <w:jc w:val="left"/>
              <w:rPr>
                <w:rFonts w:eastAsia="Calibri" w:cs="Arial"/>
                <w:color w:val="000000"/>
              </w:rPr>
            </w:pPr>
          </w:p>
        </w:tc>
      </w:tr>
    </w:tbl>
    <w:p w14:paraId="61821C54" w14:textId="201C4F73" w:rsidR="00002BBF" w:rsidRDefault="00AF6B8C" w:rsidP="005E44A4">
      <w:pPr>
        <w:pStyle w:val="Heading2"/>
      </w:pPr>
      <w:bookmarkStart w:id="332" w:name="_Toc19005586"/>
      <w:bookmarkStart w:id="333" w:name="_Toc101439025"/>
      <w:r>
        <w:t>19</w:t>
      </w:r>
      <w:r w:rsidR="00E9069F">
        <w:t>.3   Application of the Code in Universities</w:t>
      </w:r>
      <w:bookmarkEnd w:id="332"/>
      <w:bookmarkEnd w:id="333"/>
    </w:p>
    <w:p w14:paraId="61821C55" w14:textId="77777777" w:rsidR="00002BBF" w:rsidRDefault="00E9069F" w:rsidP="00E27BFA">
      <w:r>
        <w:t xml:space="preserve">Universities Australia developed a National Code of Practice for Chemicals of Security Concern - guidance note for laboratories - in universities, </w:t>
      </w:r>
      <w:proofErr w:type="gramStart"/>
      <w:r>
        <w:t>health</w:t>
      </w:r>
      <w:proofErr w:type="gramEnd"/>
      <w:r>
        <w:t xml:space="preserve"> or industry. </w:t>
      </w:r>
      <w:r w:rsidR="00C0208D">
        <w:t xml:space="preserve">The guidance outlines advice for implementing the code in </w:t>
      </w:r>
      <w:proofErr w:type="gramStart"/>
      <w:r w:rsidR="00C0208D">
        <w:t>laboratory based</w:t>
      </w:r>
      <w:proofErr w:type="gramEnd"/>
      <w:r w:rsidR="00C0208D">
        <w:t xml:space="preserve"> workplaces. The advice is separated into 3 sections. The importance of the National Code of Practice for Chemicals of Security Concern and the controls in place should form part of your training &amp; induction programme. </w:t>
      </w:r>
    </w:p>
    <w:p w14:paraId="61821C56" w14:textId="7B1B74E8" w:rsidR="00C0208D" w:rsidRDefault="00E9069F" w:rsidP="00D62420">
      <w:pPr>
        <w:pStyle w:val="ListParagraph"/>
        <w:numPr>
          <w:ilvl w:val="0"/>
          <w:numId w:val="11"/>
        </w:numPr>
      </w:pPr>
      <w:r>
        <w:t xml:space="preserve">The overarching responsibility for integrating the Code of Practice for Chemicals of Security Concern sits with someone in a position to implement and promote the code. As part of organisational risk </w:t>
      </w:r>
      <w:proofErr w:type="gramStart"/>
      <w:r>
        <w:t>assessment</w:t>
      </w:r>
      <w:proofErr w:type="gramEnd"/>
      <w:r>
        <w:t xml:space="preserve"> the assessment of security risk and implementation of security measures should be considered together with ensuring that personnel who are able to order chemicals are verified as trustworthy people, making laboratory mangers &amp; supervisors aware of the code, the importance of reporting suspicious behaviour and reviewing waste disposal procedures. At Curtin this is the Director of </w:t>
      </w:r>
      <w:r w:rsidR="005B3B08">
        <w:t>Health and Safety</w:t>
      </w:r>
      <w:r>
        <w:t xml:space="preserve">. </w:t>
      </w:r>
    </w:p>
    <w:p w14:paraId="61821C57" w14:textId="77777777" w:rsidR="00002BBF" w:rsidRDefault="00002BBF" w:rsidP="00C0208D">
      <w:pPr>
        <w:pStyle w:val="ListParagraph"/>
      </w:pPr>
    </w:p>
    <w:p w14:paraId="61821C58" w14:textId="77777777" w:rsidR="00C0208D" w:rsidRDefault="00C0208D" w:rsidP="00C0208D">
      <w:pPr>
        <w:pStyle w:val="ListParagraph"/>
      </w:pPr>
    </w:p>
    <w:p w14:paraId="61821C59" w14:textId="6760EDCD" w:rsidR="00C0208D" w:rsidRDefault="00E9069F" w:rsidP="00D62420">
      <w:pPr>
        <w:pStyle w:val="ListParagraph"/>
        <w:numPr>
          <w:ilvl w:val="0"/>
          <w:numId w:val="11"/>
        </w:numPr>
      </w:pPr>
      <w:r>
        <w:t xml:space="preserve">Laboratory </w:t>
      </w:r>
      <w:r w:rsidR="00855DAB">
        <w:t>m</w:t>
      </w:r>
      <w:r>
        <w:t>anagers can implement the Code of Practice by a risk assessment approach that may include the following controls. Reviewing security measures, ensuring that chemicals are stored in a secured area, restricting access arrangements to those who have a legitimate need, maintaining an accurate inventory, being familiar with and encouraging supervisors to be familiar with the chemicals and volumes being used by students and technicians &amp; limiting the number of people authorised to purchase chemicals.</w:t>
      </w:r>
    </w:p>
    <w:p w14:paraId="61821C5A" w14:textId="77777777" w:rsidR="00C0208D" w:rsidRDefault="00C0208D" w:rsidP="00C0208D">
      <w:pPr>
        <w:pStyle w:val="ListParagraph"/>
      </w:pPr>
    </w:p>
    <w:p w14:paraId="61821C5B" w14:textId="029FC037" w:rsidR="00C0208D" w:rsidRDefault="00E9069F" w:rsidP="00D62420">
      <w:pPr>
        <w:pStyle w:val="ListParagraph"/>
        <w:numPr>
          <w:ilvl w:val="0"/>
          <w:numId w:val="11"/>
        </w:numPr>
      </w:pPr>
      <w:r>
        <w:lastRenderedPageBreak/>
        <w:t xml:space="preserve">Laboratory </w:t>
      </w:r>
      <w:r w:rsidR="00855DAB">
        <w:t>m</w:t>
      </w:r>
      <w:r>
        <w:t xml:space="preserve">anagers and </w:t>
      </w:r>
      <w:r w:rsidR="00855DAB">
        <w:t>s</w:t>
      </w:r>
      <w:r>
        <w:t>upervisors can implement the Code of Practice using a risk assessment approach and may include strategies around reviewing inventory recording systems to enable regular interactive and accurate monitoring, Appointing people with appropriate responsibility to regularly reconcile inventory and report any unexplained discrepancies</w:t>
      </w:r>
    </w:p>
    <w:p w14:paraId="61821C5C" w14:textId="459DB833" w:rsidR="00C0208D" w:rsidRPr="00C0208D" w:rsidRDefault="00AF6B8C" w:rsidP="005E44A4">
      <w:pPr>
        <w:pStyle w:val="Heading2"/>
      </w:pPr>
      <w:bookmarkStart w:id="334" w:name="_Toc19005587"/>
      <w:bookmarkStart w:id="335" w:name="_Toc101439026"/>
      <w:r>
        <w:t>19</w:t>
      </w:r>
      <w:r w:rsidR="00E9069F">
        <w:t xml:space="preserve">.4   </w:t>
      </w:r>
      <w:r w:rsidR="00E9069F" w:rsidRPr="00C0208D">
        <w:t>Reporting</w:t>
      </w:r>
      <w:bookmarkEnd w:id="334"/>
      <w:bookmarkEnd w:id="335"/>
      <w:r w:rsidR="00E9069F" w:rsidRPr="00C0208D">
        <w:t xml:space="preserve"> </w:t>
      </w:r>
    </w:p>
    <w:p w14:paraId="61821C5D" w14:textId="7BA250B6" w:rsidR="00C0208D" w:rsidRPr="00E702FB" w:rsidRDefault="00E9069F" w:rsidP="00C0208D">
      <w:r w:rsidRPr="00C0208D">
        <w:t>Report any suspicious activity or unexplained discrepancies to</w:t>
      </w:r>
      <w:r w:rsidR="00E702FB">
        <w:t xml:space="preserve"> the</w:t>
      </w:r>
      <w:r w:rsidRPr="00C0208D">
        <w:t xml:space="preserve"> </w:t>
      </w:r>
      <w:r w:rsidRPr="00E702FB">
        <w:t xml:space="preserve">Director </w:t>
      </w:r>
      <w:r w:rsidR="00A63387">
        <w:t>of</w:t>
      </w:r>
      <w:r w:rsidRPr="00E702FB">
        <w:t xml:space="preserve"> </w:t>
      </w:r>
      <w:r w:rsidR="005B3B08">
        <w:t>Health and Safety</w:t>
      </w:r>
      <w:r w:rsidRPr="00E702FB">
        <w:t xml:space="preserve"> </w:t>
      </w:r>
      <w:r w:rsidR="00A63387" w:rsidRPr="00E702FB">
        <w:t>ext</w:t>
      </w:r>
      <w:r w:rsidR="00A63387">
        <w:t>.</w:t>
      </w:r>
      <w:r w:rsidR="00A63387" w:rsidRPr="00E702FB">
        <w:t xml:space="preserve"> </w:t>
      </w:r>
      <w:r w:rsidR="00A63387">
        <w:t xml:space="preserve">4900, who </w:t>
      </w:r>
      <w:r w:rsidR="003A1352">
        <w:t>will then contact</w:t>
      </w:r>
      <w:r w:rsidR="00E702FB">
        <w:t xml:space="preserve"> the National Security Hotline.</w:t>
      </w:r>
    </w:p>
    <w:p w14:paraId="61821C5E" w14:textId="1CFF4A55" w:rsidR="003E319D" w:rsidRDefault="00E9069F" w:rsidP="003A782C">
      <w:pPr>
        <w:pStyle w:val="Heading1"/>
        <w:numPr>
          <w:ilvl w:val="0"/>
          <w:numId w:val="0"/>
        </w:numPr>
        <w:tabs>
          <w:tab w:val="clear" w:pos="851"/>
          <w:tab w:val="left" w:pos="426"/>
        </w:tabs>
      </w:pPr>
      <w:bookmarkStart w:id="336" w:name="_Toc19005588"/>
      <w:bookmarkStart w:id="337" w:name="_Toc101439027"/>
      <w:r>
        <w:t>2</w:t>
      </w:r>
      <w:r w:rsidR="00AF6B8C">
        <w:t>0</w:t>
      </w:r>
      <w:r>
        <w:t>.</w:t>
      </w:r>
      <w:r>
        <w:tab/>
        <w:t>Scheduled Poisons</w:t>
      </w:r>
      <w:bookmarkEnd w:id="336"/>
      <w:bookmarkEnd w:id="337"/>
    </w:p>
    <w:p w14:paraId="61821C5F" w14:textId="62CE3CBD" w:rsidR="003E319D" w:rsidRDefault="00D737C4" w:rsidP="005E44A4">
      <w:pPr>
        <w:pStyle w:val="Heading2"/>
      </w:pPr>
      <w:bookmarkStart w:id="338" w:name="_Toc19005589"/>
      <w:bookmarkStart w:id="339" w:name="_Toc101439028"/>
      <w:r>
        <w:t>2</w:t>
      </w:r>
      <w:r w:rsidR="00AF6B8C">
        <w:t>0</w:t>
      </w:r>
      <w:r w:rsidR="00E9069F">
        <w:t xml:space="preserve">.1   Scheduled Poisons, </w:t>
      </w:r>
      <w:proofErr w:type="gramStart"/>
      <w:r w:rsidR="00E9069F">
        <w:t>Medicines</w:t>
      </w:r>
      <w:proofErr w:type="gramEnd"/>
      <w:r w:rsidR="00E9069F">
        <w:t xml:space="preserve"> and Drugs</w:t>
      </w:r>
      <w:bookmarkEnd w:id="338"/>
      <w:bookmarkEnd w:id="339"/>
    </w:p>
    <w:p w14:paraId="61821C60" w14:textId="3896EF2D" w:rsidR="003E319D" w:rsidRDefault="00E9069F" w:rsidP="00E27BFA">
      <w:r>
        <w:t xml:space="preserve">The </w:t>
      </w:r>
      <w:r w:rsidR="00BA6735">
        <w:t xml:space="preserve">Medicines and </w:t>
      </w:r>
      <w:r>
        <w:t xml:space="preserve">Poisons Act </w:t>
      </w:r>
      <w:r w:rsidR="00BA6735">
        <w:t xml:space="preserve">2014 </w:t>
      </w:r>
      <w:r>
        <w:t>regulates and controls the possession, sale and use of poisons</w:t>
      </w:r>
      <w:r w:rsidR="00500A10">
        <w:t xml:space="preserve">, </w:t>
      </w:r>
      <w:proofErr w:type="gramStart"/>
      <w:r w:rsidR="00500A10">
        <w:t>m</w:t>
      </w:r>
      <w:r>
        <w:t>edicines</w:t>
      </w:r>
      <w:proofErr w:type="gramEnd"/>
      <w:r>
        <w:t xml:space="preserve"> and drugs to protect the public from harm associated with the misuse of these substances.</w:t>
      </w:r>
    </w:p>
    <w:p w14:paraId="61821C61" w14:textId="3F67CDCE" w:rsidR="003E319D" w:rsidRDefault="00E9069F" w:rsidP="00E27BFA">
      <w:r>
        <w:t xml:space="preserve">Poisons, medicines and drugs controlled under the </w:t>
      </w:r>
      <w:r w:rsidR="00BA6735">
        <w:t xml:space="preserve">Medicines and Poisons Act </w:t>
      </w:r>
      <w:proofErr w:type="gramStart"/>
      <w:r w:rsidR="00BA6735">
        <w:t xml:space="preserve">2014 </w:t>
      </w:r>
      <w:r>
        <w:t xml:space="preserve"> (</w:t>
      </w:r>
      <w:proofErr w:type="gramEnd"/>
      <w:r>
        <w:t>WA) are classified into Schedules (listed below) based on their toxicity, use and potential for misuse. The Standard for the Uniform Scheduling of Medicines and Poisons (SUSMP) is the legislative instrument that has been adopted as the list of poisons classified into each schedule. Many poisons by their nature are also hazardous or dangerous and as such the requ</w:t>
      </w:r>
      <w:r w:rsidR="003A1352">
        <w:t xml:space="preserve">irements of the </w:t>
      </w:r>
      <w:r w:rsidR="00BA6735">
        <w:t xml:space="preserve">Medicines and Poisons Act 2014 </w:t>
      </w:r>
      <w:r>
        <w:t>are in addition to those of other applicable legislation unless specifically stated. The Schedules of a poison can also be found on the SDS, where available.</w:t>
      </w:r>
    </w:p>
    <w:p w14:paraId="61821C62" w14:textId="0C4F301B" w:rsidR="00500A10" w:rsidRDefault="00D737C4" w:rsidP="005E44A4">
      <w:pPr>
        <w:pStyle w:val="Heading2"/>
      </w:pPr>
      <w:bookmarkStart w:id="340" w:name="_Toc19005590"/>
      <w:bookmarkStart w:id="341" w:name="_Toc101439029"/>
      <w:r>
        <w:t>2</w:t>
      </w:r>
      <w:r w:rsidR="00AF6B8C">
        <w:t>0</w:t>
      </w:r>
      <w:r w:rsidR="00E9069F">
        <w:t>.2   Definition of Schedules</w:t>
      </w:r>
      <w:bookmarkEnd w:id="340"/>
      <w:bookmarkEnd w:id="341"/>
    </w:p>
    <w:p w14:paraId="61821C63" w14:textId="36492079" w:rsidR="003E319D" w:rsidRDefault="00E9069F" w:rsidP="00E27BFA">
      <w:r>
        <w:t xml:space="preserve">The Schedules as defined in the </w:t>
      </w:r>
      <w:r w:rsidR="00BA6735">
        <w:t xml:space="preserve">Medicines and Poisons Act 2014 </w:t>
      </w:r>
      <w:r w:rsidR="00500A10">
        <w:t>are</w:t>
      </w:r>
      <w:r>
        <w:t>:</w:t>
      </w:r>
    </w:p>
    <w:p w14:paraId="61821C64" w14:textId="77777777" w:rsidR="00500A10" w:rsidRDefault="00E9069F" w:rsidP="002D2118">
      <w:pPr>
        <w:pStyle w:val="Bullet1"/>
      </w:pPr>
      <w:proofErr w:type="gramStart"/>
      <w:r w:rsidRPr="003A782C">
        <w:rPr>
          <w:b/>
        </w:rPr>
        <w:t>Schedule 1</w:t>
      </w:r>
      <w:r>
        <w:t>,</w:t>
      </w:r>
      <w:proofErr w:type="gramEnd"/>
      <w:r>
        <w:t xml:space="preserve"> currently not used.</w:t>
      </w:r>
    </w:p>
    <w:p w14:paraId="61821C65" w14:textId="0E9F1CB2" w:rsidR="003E319D" w:rsidRDefault="00E9069F" w:rsidP="002D2118">
      <w:pPr>
        <w:pStyle w:val="Bullet1"/>
      </w:pPr>
      <w:r w:rsidRPr="003A782C">
        <w:rPr>
          <w:b/>
        </w:rPr>
        <w:t>Schedule 2,</w:t>
      </w:r>
      <w:r>
        <w:t xml:space="preserve"> Pharmacy Medicine</w:t>
      </w:r>
      <w:r w:rsidR="006B165E">
        <w:t>s</w:t>
      </w:r>
      <w:r>
        <w:t xml:space="preserve">; </w:t>
      </w:r>
      <w:r w:rsidR="006B165E" w:rsidRPr="002353F2">
        <w:t xml:space="preserve">Substances, the safe use of which may require advice from a </w:t>
      </w:r>
      <w:proofErr w:type="gramStart"/>
      <w:r w:rsidR="006B165E" w:rsidRPr="002353F2">
        <w:t>pharmacist</w:t>
      </w:r>
      <w:proofErr w:type="gramEnd"/>
      <w:r w:rsidR="006B165E" w:rsidRPr="002353F2">
        <w:t xml:space="preserve"> and which should be available from a pharmacy or, where a pharmacy service is not available, from a licensed person.</w:t>
      </w:r>
      <w:r w:rsidR="006B165E">
        <w:t xml:space="preserve"> </w:t>
      </w:r>
    </w:p>
    <w:p w14:paraId="61821C66" w14:textId="091C9177" w:rsidR="003E319D" w:rsidRDefault="00E9069F" w:rsidP="002D2118">
      <w:pPr>
        <w:pStyle w:val="Bullet1"/>
      </w:pPr>
      <w:r w:rsidRPr="003A782C">
        <w:rPr>
          <w:b/>
        </w:rPr>
        <w:t>Schedule 3</w:t>
      </w:r>
      <w:r>
        <w:t>, Pharmacist Only Medicine</w:t>
      </w:r>
      <w:r w:rsidR="006B165E">
        <w:t>s</w:t>
      </w:r>
      <w:r>
        <w:t xml:space="preserve">; </w:t>
      </w:r>
      <w:r w:rsidR="006B165E" w:rsidRPr="002353F2">
        <w:t xml:space="preserve">Substances, the safe use of which requires professional </w:t>
      </w:r>
      <w:proofErr w:type="gramStart"/>
      <w:r w:rsidR="006B165E" w:rsidRPr="002353F2">
        <w:t>advice</w:t>
      </w:r>
      <w:proofErr w:type="gramEnd"/>
      <w:r w:rsidR="006B165E" w:rsidRPr="002353F2">
        <w:t xml:space="preserve"> but which should be available to the public from a pharmacist without a prescription.</w:t>
      </w:r>
      <w:r w:rsidR="006B165E">
        <w:t xml:space="preserve"> </w:t>
      </w:r>
    </w:p>
    <w:p w14:paraId="61821C68" w14:textId="62F50278" w:rsidR="003E319D" w:rsidRDefault="00E9069F" w:rsidP="000A1EF9">
      <w:pPr>
        <w:pStyle w:val="Bullet1"/>
      </w:pPr>
      <w:r w:rsidRPr="003A782C">
        <w:rPr>
          <w:b/>
        </w:rPr>
        <w:t>Schedule 4</w:t>
      </w:r>
      <w:r>
        <w:t xml:space="preserve">, Prescription Only </w:t>
      </w:r>
      <w:proofErr w:type="gramStart"/>
      <w:r>
        <w:t>Medicine</w:t>
      </w:r>
      <w:proofErr w:type="gramEnd"/>
      <w:r>
        <w:t xml:space="preserve"> </w:t>
      </w:r>
      <w:r w:rsidR="006B165E">
        <w:t xml:space="preserve">or </w:t>
      </w:r>
      <w:r>
        <w:t xml:space="preserve">Prescription Animal Remedy; </w:t>
      </w:r>
      <w:r w:rsidR="006B165E" w:rsidRPr="002353F2">
        <w:t>Substances, the use or supply of which should be by or on the order of persons permitted under the Act to prescribe and should be available from a pharmacist on prescription</w:t>
      </w:r>
      <w:r w:rsidR="006B165E">
        <w:t xml:space="preserve"> </w:t>
      </w:r>
      <w:r>
        <w:t>Schedule 5, Caution</w:t>
      </w:r>
      <w:r w:rsidR="006B165E">
        <w:t>:</w:t>
      </w:r>
      <w:r>
        <w:t xml:space="preserve"> </w:t>
      </w:r>
      <w:r w:rsidR="006B165E" w:rsidRPr="002353F2">
        <w:t>Substances with a low potential for causing harm, the extent of which can be reduced through the use of appropriate packaging with simple warnings and safety directions on the label.</w:t>
      </w:r>
    </w:p>
    <w:p w14:paraId="61821C69" w14:textId="77777777" w:rsidR="00785B9F" w:rsidRDefault="00E9069F" w:rsidP="000A1EF9">
      <w:pPr>
        <w:pStyle w:val="Bullet1"/>
      </w:pPr>
      <w:r w:rsidRPr="003A782C">
        <w:rPr>
          <w:b/>
        </w:rPr>
        <w:t>Schedule 6</w:t>
      </w:r>
      <w:r>
        <w:t>, Poison</w:t>
      </w:r>
      <w:r w:rsidR="006B165E">
        <w:t>:</w:t>
      </w:r>
      <w:r>
        <w:t xml:space="preserve"> </w:t>
      </w:r>
      <w:r w:rsidR="006B165E" w:rsidRPr="002353F2">
        <w:t xml:space="preserve">Substances with a moderate potential for causing harm, the extent of which can be reduced </w:t>
      </w:r>
      <w:proofErr w:type="gramStart"/>
      <w:r w:rsidR="006B165E" w:rsidRPr="002353F2">
        <w:t>through the use of</w:t>
      </w:r>
      <w:proofErr w:type="gramEnd"/>
      <w:r w:rsidR="006B165E" w:rsidRPr="002353F2">
        <w:t xml:space="preserve"> distinctive packaging with strong warnings and safety directions on the label</w:t>
      </w:r>
      <w:r>
        <w:t>.</w:t>
      </w:r>
    </w:p>
    <w:p w14:paraId="61821C6B" w14:textId="77777777" w:rsidR="00785B9F" w:rsidRDefault="00E9069F" w:rsidP="000A1EF9">
      <w:pPr>
        <w:pStyle w:val="Bullet1"/>
      </w:pPr>
      <w:r w:rsidRPr="003A782C">
        <w:rPr>
          <w:b/>
        </w:rPr>
        <w:t>Schedule 7</w:t>
      </w:r>
      <w:r>
        <w:t xml:space="preserve">, Dangerous Poison; </w:t>
      </w:r>
      <w:r w:rsidR="006B165E" w:rsidRPr="002353F2">
        <w:t xml:space="preserve">Substances with a high potential for causing harm at low exposure and which require special precautions during manufacture, </w:t>
      </w:r>
      <w:proofErr w:type="gramStart"/>
      <w:r w:rsidR="006B165E" w:rsidRPr="002353F2">
        <w:t>handling</w:t>
      </w:r>
      <w:proofErr w:type="gramEnd"/>
      <w:r w:rsidR="006B165E" w:rsidRPr="002353F2">
        <w:t xml:space="preserve"> or use. These poisons should be available only to specialised or authorised users who have the skills necessary to handle them safely. Special regulations restricting their availability, possession, </w:t>
      </w:r>
      <w:proofErr w:type="gramStart"/>
      <w:r w:rsidR="006B165E" w:rsidRPr="002353F2">
        <w:t>storage</w:t>
      </w:r>
      <w:proofErr w:type="gramEnd"/>
      <w:r w:rsidR="006B165E" w:rsidRPr="002353F2">
        <w:t xml:space="preserve"> or use may apply.</w:t>
      </w:r>
    </w:p>
    <w:p w14:paraId="61821C6D" w14:textId="5C10BEB8" w:rsidR="005F131E" w:rsidRDefault="00E9069F" w:rsidP="000A1EF9">
      <w:pPr>
        <w:pStyle w:val="Bullet1"/>
      </w:pPr>
      <w:r w:rsidRPr="003A782C">
        <w:rPr>
          <w:b/>
        </w:rPr>
        <w:t>Schedule 8</w:t>
      </w:r>
      <w:r>
        <w:t xml:space="preserve">, Controlled Drug; </w:t>
      </w:r>
      <w:r w:rsidR="006B165E" w:rsidRPr="002353F2">
        <w:t>Substances which should be available for use but require restriction of manufacture, supply, distribution, possession and use to reduce abuse, misuse and physical or psychological dependence.</w:t>
      </w:r>
      <w:r w:rsidR="006B165E">
        <w:t xml:space="preserve"> </w:t>
      </w:r>
    </w:p>
    <w:p w14:paraId="61821C6F" w14:textId="60D08F2B" w:rsidR="005F131E" w:rsidRDefault="00E9069F" w:rsidP="000A1EF9">
      <w:pPr>
        <w:pStyle w:val="Bullet1"/>
      </w:pPr>
      <w:r w:rsidRPr="003A782C">
        <w:rPr>
          <w:b/>
        </w:rPr>
        <w:lastRenderedPageBreak/>
        <w:t>Schedule 9</w:t>
      </w:r>
      <w:r>
        <w:t xml:space="preserve">, Prohibited Substance; </w:t>
      </w:r>
      <w:r w:rsidR="006B165E" w:rsidRPr="002353F2">
        <w:t xml:space="preserve">Substances which may be abused or misused, the manufacture, possession, </w:t>
      </w:r>
      <w:proofErr w:type="gramStart"/>
      <w:r w:rsidR="006B165E" w:rsidRPr="002353F2">
        <w:t>sale</w:t>
      </w:r>
      <w:proofErr w:type="gramEnd"/>
      <w:r w:rsidR="006B165E" w:rsidRPr="002353F2">
        <w:t xml:space="preserve"> or use of which should be prohibited by law except when required for medical or scientific research, or for analytical, teaching or training purposes with approval of the CEO.</w:t>
      </w:r>
      <w:r w:rsidR="006B165E">
        <w:t xml:space="preserve"> </w:t>
      </w:r>
    </w:p>
    <w:p w14:paraId="61821C71" w14:textId="60294EB7" w:rsidR="003E319D" w:rsidRPr="005F131E" w:rsidRDefault="00E9069F" w:rsidP="003A782C">
      <w:pPr>
        <w:pStyle w:val="Heading2"/>
      </w:pPr>
      <w:bookmarkStart w:id="342" w:name="_Toc19005591"/>
      <w:bookmarkStart w:id="343" w:name="_Toc101439030"/>
      <w:r w:rsidRPr="005F131E">
        <w:t>2</w:t>
      </w:r>
      <w:r w:rsidR="00AF6B8C">
        <w:t>0</w:t>
      </w:r>
      <w:r w:rsidRPr="005F131E">
        <w:t>.3   Poisons Permit</w:t>
      </w:r>
      <w:bookmarkEnd w:id="342"/>
      <w:bookmarkEnd w:id="343"/>
    </w:p>
    <w:p w14:paraId="61821C72" w14:textId="77777777" w:rsidR="003E319D" w:rsidRDefault="00E9069F" w:rsidP="00E27BFA">
      <w:r>
        <w:t>To purchase, use and hold poisons</w:t>
      </w:r>
      <w:r w:rsidRPr="00500A10">
        <w:t xml:space="preserve"> </w:t>
      </w:r>
      <w:r>
        <w:t xml:space="preserve">in </w:t>
      </w:r>
      <w:r w:rsidR="00391E62">
        <w:t xml:space="preserve">schedules </w:t>
      </w:r>
      <w:r>
        <w:t>2, 3, 4, 7, 8, or 9, Curtin must hold an appropriate permit for either research, educational, or industrial purposes. The purchase, use or holding of Schedule 5 and 6 Poisons do not require a permit.</w:t>
      </w:r>
    </w:p>
    <w:p w14:paraId="61821C73" w14:textId="2BBDA1DE" w:rsidR="003E319D" w:rsidRDefault="00E9069F" w:rsidP="00E27BFA">
      <w:r>
        <w:t>The permit must be held by a person (nominated by the School/Department) with sufficient education or experience in the handling of Poisons (</w:t>
      </w:r>
      <w:r w:rsidR="005F131E">
        <w:t>g</w:t>
      </w:r>
      <w:r>
        <w:t xml:space="preserve">enerally this is a tertiary qualification or 5 years’ experience, relevant to the poisons listed on the permit). Permit holders are responsible for ensuring that all permit conditions are met. </w:t>
      </w:r>
      <w:r w:rsidR="00500A10">
        <w:t xml:space="preserve">Staff who require the purchase, </w:t>
      </w:r>
      <w:proofErr w:type="gramStart"/>
      <w:r w:rsidR="00500A10">
        <w:t>access</w:t>
      </w:r>
      <w:proofErr w:type="gramEnd"/>
      <w:r w:rsidR="00500A10">
        <w:t xml:space="preserve"> and use scheduled poisons must be authorised to do so by the permit holder</w:t>
      </w:r>
      <w:r w:rsidR="00A92515">
        <w:t>.</w:t>
      </w:r>
    </w:p>
    <w:p w14:paraId="61821C74" w14:textId="77777777" w:rsidR="00500A10" w:rsidRDefault="00E9069F" w:rsidP="00500A10">
      <w:r>
        <w:t xml:space="preserve">Permits are only valid for the named poisons/schedules and locations. Manufacture, distribution, </w:t>
      </w:r>
      <w:proofErr w:type="gramStart"/>
      <w:r>
        <w:t>sale</w:t>
      </w:r>
      <w:proofErr w:type="gramEnd"/>
      <w:r>
        <w:t xml:space="preserve"> or supply of Scheduled Poisons is prohibited under these permits. Schedule 9 substances may only be used with the gazetted approval of the Department of Health CEO for certain research and teaching purposes. Applications for Schedule 9 substances are separate authority.</w:t>
      </w:r>
      <w:r w:rsidRPr="00500A10">
        <w:t xml:space="preserve"> </w:t>
      </w:r>
    </w:p>
    <w:p w14:paraId="61821C75" w14:textId="77777777" w:rsidR="00500A10" w:rsidRDefault="00E9069F" w:rsidP="00500A10">
      <w:r>
        <w:t>Permits may outline additional conditions for use, storage, and record keeping for individual poisons or entire schedules. Permits may also detail any limitations on the size or quantity allowed under the permit. Poisons covered under a Poisons Permit cannot be used for purposes other than those for which the permit has been granted.</w:t>
      </w:r>
    </w:p>
    <w:p w14:paraId="61821C76" w14:textId="5F8C9434" w:rsidR="00BA6735" w:rsidRDefault="00E9069F" w:rsidP="00500A10">
      <w:r>
        <w:t xml:space="preserve">Please contact </w:t>
      </w:r>
      <w:r w:rsidR="00740F15">
        <w:t xml:space="preserve">Health and </w:t>
      </w:r>
      <w:proofErr w:type="gramStart"/>
      <w:r w:rsidR="00740F15">
        <w:t xml:space="preserve">Safety </w:t>
      </w:r>
      <w:r>
        <w:t xml:space="preserve"> for</w:t>
      </w:r>
      <w:proofErr w:type="gramEnd"/>
      <w:r>
        <w:t xml:space="preserve"> enquiries about applying for a new Poisons Permit or the amendment of an existing poisons permit. </w:t>
      </w:r>
    </w:p>
    <w:p w14:paraId="61821C77" w14:textId="77777777" w:rsidR="00500A10" w:rsidRDefault="00E9069F" w:rsidP="00500A10">
      <w:r>
        <w:t>This section does not include the legal requirements and obligations for prescribing and administering drugs/medications to people (including authorised personnel and labelling).</w:t>
      </w:r>
      <w:r w:rsidR="003A1352">
        <w:t xml:space="preserve"> T</w:t>
      </w:r>
      <w:r>
        <w:t>he use of scheduled poisons in human or animal research must be approved by the corresponding ethics committee.</w:t>
      </w:r>
    </w:p>
    <w:p w14:paraId="61821C78" w14:textId="2F1E6B21" w:rsidR="00500A10" w:rsidRDefault="00D737C4" w:rsidP="005E44A4">
      <w:pPr>
        <w:pStyle w:val="Heading2"/>
      </w:pPr>
      <w:bookmarkStart w:id="344" w:name="_Toc19005592"/>
      <w:bookmarkStart w:id="345" w:name="_Toc101439031"/>
      <w:r>
        <w:t>2</w:t>
      </w:r>
      <w:r w:rsidR="00AF6B8C">
        <w:t>0</w:t>
      </w:r>
      <w:r w:rsidR="00E9069F">
        <w:t>.4   Purchase</w:t>
      </w:r>
      <w:bookmarkEnd w:id="344"/>
      <w:bookmarkEnd w:id="345"/>
    </w:p>
    <w:p w14:paraId="61821C79" w14:textId="77777777" w:rsidR="00500A10" w:rsidRDefault="00E9069F" w:rsidP="00500A10">
      <w:r>
        <w:t>It is a requirement for a permit to be in place prior to the purchase of the scheduled poisons above. Permits must either list the chemicals being used on the permit or list the relevant schedule for them to be compliant. Suppliers are required to ensure the appropriate permit is held by Curtin prior to the supply of scheduled poisons requiring a permit.</w:t>
      </w:r>
    </w:p>
    <w:p w14:paraId="61821C7A" w14:textId="77777777" w:rsidR="00500A10" w:rsidRDefault="00E9069F" w:rsidP="00500A10">
      <w:r>
        <w:t>All purchases of Scheduled poisons must follow Curtin’s chemical pre-purchasing check list (</w:t>
      </w:r>
      <w:r w:rsidRPr="003A1352">
        <w:t>Sectio</w:t>
      </w:r>
      <w:r w:rsidR="003A1352" w:rsidRPr="003A1352">
        <w:t>n 8</w:t>
      </w:r>
      <w:r w:rsidRPr="00E97243">
        <w:t>).</w:t>
      </w:r>
      <w:r>
        <w:t xml:space="preserve"> The purchase should be made by the Permit holder or as a minimum the permit holder must provide authorisation for the purchase. </w:t>
      </w:r>
    </w:p>
    <w:p w14:paraId="61821C7B" w14:textId="4FA88F95" w:rsidR="003E319D" w:rsidRDefault="00D737C4" w:rsidP="005E44A4">
      <w:pPr>
        <w:pStyle w:val="Heading2"/>
      </w:pPr>
      <w:bookmarkStart w:id="346" w:name="_Toc19005593"/>
      <w:bookmarkStart w:id="347" w:name="_Toc101439032"/>
      <w:r>
        <w:t>2</w:t>
      </w:r>
      <w:r w:rsidR="00AF6B8C">
        <w:t>0</w:t>
      </w:r>
      <w:r w:rsidR="00E9069F">
        <w:t>.5   Storage &amp; Access Arrangements</w:t>
      </w:r>
      <w:bookmarkEnd w:id="346"/>
      <w:bookmarkEnd w:id="347"/>
    </w:p>
    <w:p w14:paraId="61821C7C" w14:textId="77777777" w:rsidR="00500A10" w:rsidRDefault="00E9069F" w:rsidP="00E27BFA">
      <w:r>
        <w:t xml:space="preserve">All </w:t>
      </w:r>
      <w:r w:rsidR="003E319D">
        <w:t>Schedule</w:t>
      </w:r>
      <w:r>
        <w:t>d</w:t>
      </w:r>
      <w:r w:rsidR="003E319D">
        <w:t xml:space="preserve"> Poisons </w:t>
      </w:r>
      <w:r>
        <w:t>must</w:t>
      </w:r>
      <w:r w:rsidR="003E319D">
        <w:t xml:space="preserve"> be stored securely</w:t>
      </w:r>
      <w:r>
        <w:t xml:space="preserve">. Additional conditions for storage may be stipulated in Individual Permit conditions. </w:t>
      </w:r>
    </w:p>
    <w:p w14:paraId="61821C7D" w14:textId="3660BE33" w:rsidR="00500A10" w:rsidRDefault="00E9069F" w:rsidP="00E27BFA">
      <w:r>
        <w:t>As a minimum Schedule 4 Poisons must be stored within a locked room or dedicated locked cupboard/cabinet, with authorised access only.</w:t>
      </w:r>
    </w:p>
    <w:p w14:paraId="61821C7E" w14:textId="4C36FA54" w:rsidR="003E319D" w:rsidRDefault="00E9069F" w:rsidP="00E27BFA">
      <w:r>
        <w:lastRenderedPageBreak/>
        <w:t xml:space="preserve">Where a Scheduled </w:t>
      </w:r>
      <w:r w:rsidR="00500A10">
        <w:t>p</w:t>
      </w:r>
      <w:r>
        <w:t xml:space="preserve">oison requiring a </w:t>
      </w:r>
      <w:r w:rsidR="00500A10">
        <w:t>permit is also a dangerous goods (</w:t>
      </w:r>
      <w:proofErr w:type="gramStart"/>
      <w:r w:rsidR="00500A10">
        <w:t>i.e.</w:t>
      </w:r>
      <w:proofErr w:type="gramEnd"/>
      <w:r w:rsidR="00500A10">
        <w:t xml:space="preserve"> Schedule 7 Poisons) </w:t>
      </w:r>
      <w:r>
        <w:t xml:space="preserve">it must also be stored </w:t>
      </w:r>
      <w:r w:rsidR="00500A10">
        <w:t xml:space="preserve">securely in addition to the </w:t>
      </w:r>
      <w:r>
        <w:t xml:space="preserve">Dangerous Goods Safety storage requirements outlined </w:t>
      </w:r>
      <w:r w:rsidRPr="00E97243">
        <w:t xml:space="preserve">in </w:t>
      </w:r>
      <w:r w:rsidRPr="003A782C">
        <w:t>Section</w:t>
      </w:r>
      <w:r w:rsidR="00E97243" w:rsidRPr="003A782C">
        <w:t xml:space="preserve"> 10</w:t>
      </w:r>
      <w:r w:rsidR="008A3CFC" w:rsidRPr="003A782C">
        <w:t>.</w:t>
      </w:r>
    </w:p>
    <w:p w14:paraId="61821C7F" w14:textId="63EBB63B" w:rsidR="003E319D" w:rsidRDefault="00E9069F" w:rsidP="00E27BFA">
      <w:r>
        <w:t>Schedule 8 and 9 substances must be located within a</w:t>
      </w:r>
      <w:r w:rsidR="00500A10">
        <w:t>n approved safe</w:t>
      </w:r>
      <w:r>
        <w:t xml:space="preserve">. (The safe must meet the requirements of </w:t>
      </w:r>
      <w:r w:rsidR="00EC6CCC">
        <w:t xml:space="preserve">the Medicines and </w:t>
      </w:r>
      <w:r>
        <w:t xml:space="preserve">Poisons Regulations </w:t>
      </w:r>
      <w:r w:rsidR="00EC6CCC">
        <w:t xml:space="preserve">2016 </w:t>
      </w:r>
      <w:r>
        <w:t xml:space="preserve">or the approval of the WA </w:t>
      </w:r>
      <w:r w:rsidR="008A3CFC">
        <w:t>H</w:t>
      </w:r>
      <w:r>
        <w:t xml:space="preserve">ealth </w:t>
      </w:r>
      <w:r w:rsidR="008A3CFC">
        <w:t>D</w:t>
      </w:r>
      <w:r>
        <w:t>epartment).</w:t>
      </w:r>
    </w:p>
    <w:p w14:paraId="61821C80" w14:textId="64BAE7C6" w:rsidR="003E319D" w:rsidRDefault="00D737C4" w:rsidP="005E44A4">
      <w:pPr>
        <w:pStyle w:val="Heading2"/>
      </w:pPr>
      <w:bookmarkStart w:id="348" w:name="_Toc19005594"/>
      <w:bookmarkStart w:id="349" w:name="_Toc101439033"/>
      <w:r>
        <w:t>2</w:t>
      </w:r>
      <w:r w:rsidR="00AF6B8C">
        <w:t>0</w:t>
      </w:r>
      <w:r w:rsidR="00E9069F">
        <w:t>.6   Record Keeping Poisons</w:t>
      </w:r>
      <w:bookmarkEnd w:id="348"/>
      <w:bookmarkEnd w:id="349"/>
    </w:p>
    <w:p w14:paraId="61821C81" w14:textId="77777777" w:rsidR="00500A10" w:rsidRDefault="00E9069F" w:rsidP="00E27BFA">
      <w:r>
        <w:t xml:space="preserve">Schedule 4 poisons require purchase and usage records to be kept. The records should be detailed enough so that discrepancy of use, lost or stolen poisons would be reasonably detected.  </w:t>
      </w:r>
    </w:p>
    <w:p w14:paraId="61821C82" w14:textId="77777777" w:rsidR="00500A10" w:rsidRDefault="00E9069F" w:rsidP="00E27BFA">
      <w:r>
        <w:t xml:space="preserve">Schedule 8 and 9 poisons require records of purchase and usage </w:t>
      </w:r>
      <w:r w:rsidR="00017821">
        <w:t xml:space="preserve">and destruction </w:t>
      </w:r>
      <w:r>
        <w:t>to be kept in a dedicated record book</w:t>
      </w:r>
      <w:r w:rsidR="00017821">
        <w:t xml:space="preserve"> </w:t>
      </w:r>
      <w:r>
        <w:t>obtained from the supplier. Inventory records must be entered at least monthly.</w:t>
      </w:r>
    </w:p>
    <w:p w14:paraId="61821C83" w14:textId="7D3FAA00" w:rsidR="003E319D" w:rsidRDefault="00D737C4" w:rsidP="005E44A4">
      <w:pPr>
        <w:pStyle w:val="Heading2"/>
      </w:pPr>
      <w:bookmarkStart w:id="350" w:name="_Toc19005595"/>
      <w:bookmarkStart w:id="351" w:name="_Toc101439034"/>
      <w:r>
        <w:t>2</w:t>
      </w:r>
      <w:r w:rsidR="00AF6B8C">
        <w:t>0</w:t>
      </w:r>
      <w:r w:rsidR="00E9069F">
        <w:t>.7   Labelling</w:t>
      </w:r>
      <w:bookmarkEnd w:id="350"/>
      <w:bookmarkEnd w:id="351"/>
      <w:r w:rsidR="00E9069F">
        <w:t xml:space="preserve"> </w:t>
      </w:r>
    </w:p>
    <w:p w14:paraId="61821C84" w14:textId="77777777" w:rsidR="00500A10" w:rsidRDefault="00E9069F" w:rsidP="00E27BFA">
      <w:r>
        <w:t xml:space="preserve">Schedule poisons when packaged and sold solely for dispensary, industrial, laboratory or manufacturing purposes should be labelled according to the requirements of </w:t>
      </w:r>
      <w:r w:rsidRPr="001C0A71">
        <w:t>(</w:t>
      </w:r>
      <w:r w:rsidR="001C0A71" w:rsidRPr="001C0A71">
        <w:t>S</w:t>
      </w:r>
      <w:r w:rsidRPr="001C0A71">
        <w:t xml:space="preserve">ection </w:t>
      </w:r>
      <w:r w:rsidR="001C0A71" w:rsidRPr="001C0A71">
        <w:t>9</w:t>
      </w:r>
      <w:r w:rsidRPr="001C0A71">
        <w:t>)</w:t>
      </w:r>
    </w:p>
    <w:p w14:paraId="61821C85" w14:textId="5BD182C5" w:rsidR="00500A10" w:rsidRDefault="00E9069F" w:rsidP="00E27BFA">
      <w:r>
        <w:t>When packaged for consumer usage (</w:t>
      </w:r>
      <w:proofErr w:type="gramStart"/>
      <w:r>
        <w:t>i.e.</w:t>
      </w:r>
      <w:proofErr w:type="gramEnd"/>
      <w:r>
        <w:t xml:space="preserve"> prescribed medicines), scheduled poisons must be labelled according to the labelling requirements</w:t>
      </w:r>
      <w:r w:rsidRPr="00500A10">
        <w:t xml:space="preserve"> </w:t>
      </w:r>
      <w:r>
        <w:t>of the SUSMP</w:t>
      </w:r>
      <w:r w:rsidR="001C0A71">
        <w:t xml:space="preserve"> – Standard for the </w:t>
      </w:r>
      <w:r w:rsidR="00EC6CCC">
        <w:t>U</w:t>
      </w:r>
      <w:r w:rsidR="001C0A71">
        <w:t xml:space="preserve">niform </w:t>
      </w:r>
      <w:r w:rsidR="00EC6CCC">
        <w:t>S</w:t>
      </w:r>
      <w:r w:rsidR="001C0A71">
        <w:t>cheduling of Medicines and Poisons</w:t>
      </w:r>
      <w:r>
        <w:t xml:space="preserve">. </w:t>
      </w:r>
    </w:p>
    <w:p w14:paraId="61821C86" w14:textId="77777777" w:rsidR="00500A10" w:rsidRDefault="00E9069F" w:rsidP="00500A10">
      <w:r>
        <w:t xml:space="preserve">The labelling requirements for decanted drugs, poisons and controlled substances must follow the decanted labelling requirements outlined in </w:t>
      </w:r>
      <w:r w:rsidRPr="001C0A71">
        <w:t>(</w:t>
      </w:r>
      <w:r w:rsidR="001C0A71" w:rsidRPr="001C0A71">
        <w:t>Section 9.7.3</w:t>
      </w:r>
      <w:r w:rsidRPr="001C0A71">
        <w:t>)</w:t>
      </w:r>
    </w:p>
    <w:p w14:paraId="61821C87" w14:textId="0F929B0F" w:rsidR="00017821" w:rsidRDefault="00D737C4" w:rsidP="005E44A4">
      <w:pPr>
        <w:pStyle w:val="Heading2"/>
      </w:pPr>
      <w:bookmarkStart w:id="352" w:name="_Toc19005596"/>
      <w:bookmarkStart w:id="353" w:name="_Toc101439035"/>
      <w:r>
        <w:t>2</w:t>
      </w:r>
      <w:r w:rsidR="00AF6B8C">
        <w:t>0</w:t>
      </w:r>
      <w:r w:rsidR="00E9069F">
        <w:t>.8   Disposal</w:t>
      </w:r>
      <w:bookmarkEnd w:id="352"/>
      <w:bookmarkEnd w:id="353"/>
    </w:p>
    <w:p w14:paraId="61821C88" w14:textId="77777777" w:rsidR="00017821" w:rsidRPr="00017821" w:rsidRDefault="00E9069F" w:rsidP="00017821">
      <w:pPr>
        <w:rPr>
          <w:lang w:eastAsia="en-US"/>
        </w:rPr>
      </w:pPr>
      <w:r>
        <w:rPr>
          <w:lang w:eastAsia="en-US"/>
        </w:rPr>
        <w:t xml:space="preserve">Poisons must be disposed of without creating risk to the public. Schedule 8 poisons can only be destroyed by or under the supervision of a person authorised by the </w:t>
      </w:r>
      <w:r w:rsidR="00CF4891">
        <w:rPr>
          <w:lang w:eastAsia="en-US"/>
        </w:rPr>
        <w:t xml:space="preserve">Medicines and </w:t>
      </w:r>
      <w:r>
        <w:rPr>
          <w:lang w:eastAsia="en-US"/>
        </w:rPr>
        <w:t>Poisons Regulations</w:t>
      </w:r>
      <w:r w:rsidR="00CF4891">
        <w:rPr>
          <w:lang w:eastAsia="en-US"/>
        </w:rPr>
        <w:t xml:space="preserve"> 2016</w:t>
      </w:r>
      <w:r>
        <w:rPr>
          <w:lang w:eastAsia="en-US"/>
        </w:rPr>
        <w:t>.</w:t>
      </w:r>
    </w:p>
    <w:p w14:paraId="61821C89" w14:textId="2DA6B73F" w:rsidR="00BA2D8A" w:rsidRDefault="00E9069F" w:rsidP="003A782C">
      <w:pPr>
        <w:pStyle w:val="Heading1"/>
        <w:numPr>
          <w:ilvl w:val="0"/>
          <w:numId w:val="0"/>
        </w:numPr>
        <w:tabs>
          <w:tab w:val="clear" w:pos="851"/>
          <w:tab w:val="left" w:pos="426"/>
        </w:tabs>
      </w:pPr>
      <w:bookmarkStart w:id="354" w:name="_Toc19005597"/>
      <w:bookmarkStart w:id="355" w:name="_Toc101439036"/>
      <w:r>
        <w:t>2</w:t>
      </w:r>
      <w:r w:rsidR="00AF6B8C">
        <w:t>1</w:t>
      </w:r>
      <w:r>
        <w:t>.</w:t>
      </w:r>
      <w:r>
        <w:tab/>
        <w:t>Concessional Spirits</w:t>
      </w:r>
      <w:bookmarkEnd w:id="354"/>
      <w:bookmarkEnd w:id="355"/>
    </w:p>
    <w:p w14:paraId="61821C8A" w14:textId="77777777" w:rsidR="00BA2D8A" w:rsidRDefault="00E9069F" w:rsidP="00BA2D8A">
      <w:r>
        <w:t xml:space="preserve">Undenatured ethanol (alcohol) can attract an excise under the Excise Act. </w:t>
      </w:r>
    </w:p>
    <w:p w14:paraId="61821C8B" w14:textId="77777777" w:rsidR="00500A10" w:rsidRDefault="00E9069F" w:rsidP="00500A10">
      <w:r>
        <w:t>Curtin University currently has an exemption from the excise</w:t>
      </w:r>
      <w:r w:rsidR="00017821">
        <w:t xml:space="preserve"> due to the low volume of ethanol use, although r</w:t>
      </w:r>
      <w:r>
        <w:t xml:space="preserve">ecords </w:t>
      </w:r>
      <w:r w:rsidR="00017821">
        <w:t>must still be kept for</w:t>
      </w:r>
      <w:r>
        <w:t xml:space="preserve"> a minimum of 5 years. The records must include: </w:t>
      </w:r>
    </w:p>
    <w:p w14:paraId="61821C8C" w14:textId="77777777" w:rsidR="00500A10" w:rsidRDefault="00E9069F" w:rsidP="00F614A2">
      <w:pPr>
        <w:pStyle w:val="Bullet1"/>
      </w:pPr>
      <w:r>
        <w:t xml:space="preserve">Amount of ethanol </w:t>
      </w:r>
      <w:proofErr w:type="gramStart"/>
      <w:r>
        <w:t>held;</w:t>
      </w:r>
      <w:proofErr w:type="gramEnd"/>
      <w:r>
        <w:t xml:space="preserve"> </w:t>
      </w:r>
    </w:p>
    <w:p w14:paraId="61821C8D" w14:textId="77777777" w:rsidR="00500A10" w:rsidRDefault="00E9069F" w:rsidP="00E97243">
      <w:pPr>
        <w:pStyle w:val="Bullet1"/>
      </w:pPr>
      <w:r>
        <w:t xml:space="preserve">Amount of ethanol </w:t>
      </w:r>
      <w:proofErr w:type="gramStart"/>
      <w:r>
        <w:t>obtained;</w:t>
      </w:r>
      <w:proofErr w:type="gramEnd"/>
      <w:r>
        <w:t xml:space="preserve"> </w:t>
      </w:r>
    </w:p>
    <w:p w14:paraId="61821C8E" w14:textId="77777777" w:rsidR="00500A10" w:rsidRDefault="00E9069F">
      <w:pPr>
        <w:pStyle w:val="Bullet1"/>
      </w:pPr>
      <w:r>
        <w:t xml:space="preserve">Date the ethanol was </w:t>
      </w:r>
      <w:proofErr w:type="gramStart"/>
      <w:r>
        <w:t>obtained;</w:t>
      </w:r>
      <w:proofErr w:type="gramEnd"/>
      <w:r>
        <w:t xml:space="preserve"> </w:t>
      </w:r>
    </w:p>
    <w:p w14:paraId="61821C8F" w14:textId="77777777" w:rsidR="00500A10" w:rsidRDefault="00E9069F">
      <w:pPr>
        <w:pStyle w:val="Bullet1"/>
      </w:pPr>
      <w:r>
        <w:t xml:space="preserve">Name of supplier; and </w:t>
      </w:r>
    </w:p>
    <w:p w14:paraId="61821C90" w14:textId="77777777" w:rsidR="00500A10" w:rsidRDefault="00E9069F">
      <w:pPr>
        <w:pStyle w:val="Bullet1"/>
      </w:pPr>
      <w:r>
        <w:t xml:space="preserve">Purposes for which the ethanol is used. </w:t>
      </w:r>
    </w:p>
    <w:p w14:paraId="61821C91" w14:textId="77777777" w:rsidR="00017821" w:rsidRDefault="00E9069F">
      <w:pPr>
        <w:pStyle w:val="Bullet1"/>
      </w:pPr>
      <w:r>
        <w:t xml:space="preserve">More information on concessional spirits is available from the </w:t>
      </w:r>
      <w:hyperlink r:id="rId58" w:history="1">
        <w:r w:rsidRPr="001016DE">
          <w:rPr>
            <w:rStyle w:val="Hyperlink"/>
          </w:rPr>
          <w:t>Australian Taxation Office website</w:t>
        </w:r>
      </w:hyperlink>
      <w:r w:rsidR="001016DE">
        <w:t>.</w:t>
      </w:r>
      <w:r>
        <w:t xml:space="preserve"> </w:t>
      </w:r>
    </w:p>
    <w:p w14:paraId="61821C93" w14:textId="0EF91753" w:rsidR="0026629A" w:rsidRPr="00E97243" w:rsidRDefault="00E9069F" w:rsidP="003A782C">
      <w:pPr>
        <w:pStyle w:val="Heading1"/>
        <w:numPr>
          <w:ilvl w:val="0"/>
          <w:numId w:val="0"/>
        </w:numPr>
        <w:tabs>
          <w:tab w:val="clear" w:pos="851"/>
          <w:tab w:val="left" w:pos="426"/>
        </w:tabs>
      </w:pPr>
      <w:bookmarkStart w:id="356" w:name="_Toc18675089"/>
      <w:bookmarkStart w:id="357" w:name="_Toc18675280"/>
      <w:bookmarkStart w:id="358" w:name="_Toc18675789"/>
      <w:bookmarkStart w:id="359" w:name="_Toc18678548"/>
      <w:bookmarkStart w:id="360" w:name="_Toc18678739"/>
      <w:bookmarkStart w:id="361" w:name="_Toc18678952"/>
      <w:bookmarkStart w:id="362" w:name="_Toc18679143"/>
      <w:bookmarkStart w:id="363" w:name="_Toc18679508"/>
      <w:bookmarkStart w:id="364" w:name="_Toc18679700"/>
      <w:bookmarkStart w:id="365" w:name="_Toc18679891"/>
      <w:bookmarkStart w:id="366" w:name="_Toc18680082"/>
      <w:bookmarkStart w:id="367" w:name="_Toc18680272"/>
      <w:bookmarkStart w:id="368" w:name="_Toc19005598"/>
      <w:bookmarkStart w:id="369" w:name="_Toc101439037"/>
      <w:bookmarkEnd w:id="356"/>
      <w:bookmarkEnd w:id="357"/>
      <w:bookmarkEnd w:id="358"/>
      <w:bookmarkEnd w:id="359"/>
      <w:bookmarkEnd w:id="360"/>
      <w:bookmarkEnd w:id="361"/>
      <w:bookmarkEnd w:id="362"/>
      <w:bookmarkEnd w:id="363"/>
      <w:bookmarkEnd w:id="364"/>
      <w:bookmarkEnd w:id="365"/>
      <w:bookmarkEnd w:id="366"/>
      <w:bookmarkEnd w:id="367"/>
      <w:r>
        <w:lastRenderedPageBreak/>
        <w:t>2</w:t>
      </w:r>
      <w:r w:rsidR="00AF6B8C">
        <w:t>2</w:t>
      </w:r>
      <w:r>
        <w:t>.</w:t>
      </w:r>
      <w:r>
        <w:tab/>
      </w:r>
      <w:r w:rsidRPr="00E97243">
        <w:t>Health Surveillance</w:t>
      </w:r>
      <w:bookmarkEnd w:id="368"/>
      <w:bookmarkEnd w:id="369"/>
    </w:p>
    <w:p w14:paraId="61821C95" w14:textId="77777777" w:rsidR="00FF0EFE" w:rsidRDefault="00E9069F" w:rsidP="003A782C">
      <w:r>
        <w:t xml:space="preserve">Health surveillance is required for workers who are exposed to noise or vibration, ionising radiation, solvents, fumes, dusts and other chemicals or substances hazardous to health. Health surveillance will be managed in accordance with the </w:t>
      </w:r>
      <w:hyperlink r:id="rId59" w:history="1">
        <w:r w:rsidRPr="00CB2E9E">
          <w:rPr>
            <w:rStyle w:val="Hyperlink"/>
          </w:rPr>
          <w:t>Health Surveillance Guideline</w:t>
        </w:r>
      </w:hyperlink>
      <w:r>
        <w:t>.</w:t>
      </w:r>
    </w:p>
    <w:p w14:paraId="61821C96" w14:textId="20296A14" w:rsidR="006B57E8" w:rsidRPr="006B57E8" w:rsidRDefault="00E9069F" w:rsidP="006B57E8">
      <w:pPr>
        <w:pStyle w:val="Heading1"/>
        <w:numPr>
          <w:ilvl w:val="0"/>
          <w:numId w:val="0"/>
        </w:numPr>
        <w:tabs>
          <w:tab w:val="clear" w:pos="851"/>
          <w:tab w:val="left" w:pos="426"/>
        </w:tabs>
      </w:pPr>
      <w:bookmarkStart w:id="370" w:name="_Toc19005599"/>
      <w:bookmarkStart w:id="371" w:name="_Toc101439038"/>
      <w:r>
        <w:t>2</w:t>
      </w:r>
      <w:r w:rsidR="00AF6B8C">
        <w:t>3</w:t>
      </w:r>
      <w:r>
        <w:t>.</w:t>
      </w:r>
      <w:r>
        <w:tab/>
      </w:r>
      <w:r w:rsidRPr="006B57E8">
        <w:t>Scheduled Carcinogens</w:t>
      </w:r>
      <w:bookmarkEnd w:id="370"/>
      <w:bookmarkEnd w:id="371"/>
    </w:p>
    <w:p w14:paraId="61821CAC" w14:textId="1A0540F2" w:rsidR="003E319D" w:rsidRDefault="00E9069F" w:rsidP="005E44A4">
      <w:pPr>
        <w:pStyle w:val="Heading2"/>
      </w:pPr>
      <w:bookmarkStart w:id="372" w:name="_Toc18675091"/>
      <w:bookmarkStart w:id="373" w:name="_Toc18675282"/>
      <w:bookmarkStart w:id="374" w:name="_Toc18675791"/>
      <w:bookmarkStart w:id="375" w:name="_Toc18678550"/>
      <w:bookmarkStart w:id="376" w:name="_Toc18678741"/>
      <w:bookmarkStart w:id="377" w:name="_Toc18678954"/>
      <w:bookmarkStart w:id="378" w:name="_Toc18679145"/>
      <w:bookmarkStart w:id="379" w:name="_Toc18679510"/>
      <w:bookmarkStart w:id="380" w:name="_Toc18679702"/>
      <w:bookmarkStart w:id="381" w:name="_Toc18679893"/>
      <w:bookmarkStart w:id="382" w:name="_Toc18680084"/>
      <w:bookmarkStart w:id="383" w:name="_Toc18680274"/>
      <w:bookmarkStart w:id="384" w:name="_Toc18675092"/>
      <w:bookmarkStart w:id="385" w:name="_Toc18675283"/>
      <w:bookmarkStart w:id="386" w:name="_Toc18675792"/>
      <w:bookmarkStart w:id="387" w:name="_Toc18678551"/>
      <w:bookmarkStart w:id="388" w:name="_Toc18678742"/>
      <w:bookmarkStart w:id="389" w:name="_Toc18678955"/>
      <w:bookmarkStart w:id="390" w:name="_Toc18679146"/>
      <w:bookmarkStart w:id="391" w:name="_Toc18679511"/>
      <w:bookmarkStart w:id="392" w:name="_Toc18679703"/>
      <w:bookmarkStart w:id="393" w:name="_Toc18679894"/>
      <w:bookmarkStart w:id="394" w:name="_Toc18680085"/>
      <w:bookmarkStart w:id="395" w:name="_Toc18680275"/>
      <w:bookmarkStart w:id="396" w:name="_Toc18675093"/>
      <w:bookmarkStart w:id="397" w:name="_Toc18675284"/>
      <w:bookmarkStart w:id="398" w:name="_Toc18675793"/>
      <w:bookmarkStart w:id="399" w:name="_Toc18678552"/>
      <w:bookmarkStart w:id="400" w:name="_Toc18678743"/>
      <w:bookmarkStart w:id="401" w:name="_Toc18678956"/>
      <w:bookmarkStart w:id="402" w:name="_Toc18679147"/>
      <w:bookmarkStart w:id="403" w:name="_Toc18679512"/>
      <w:bookmarkStart w:id="404" w:name="_Toc18679704"/>
      <w:bookmarkStart w:id="405" w:name="_Toc18679895"/>
      <w:bookmarkStart w:id="406" w:name="_Toc18680086"/>
      <w:bookmarkStart w:id="407" w:name="_Toc18680276"/>
      <w:bookmarkStart w:id="408" w:name="_Toc18675094"/>
      <w:bookmarkStart w:id="409" w:name="_Toc18675285"/>
      <w:bookmarkStart w:id="410" w:name="_Toc18675794"/>
      <w:bookmarkStart w:id="411" w:name="_Toc18678553"/>
      <w:bookmarkStart w:id="412" w:name="_Toc18678744"/>
      <w:bookmarkStart w:id="413" w:name="_Toc18678957"/>
      <w:bookmarkStart w:id="414" w:name="_Toc18679148"/>
      <w:bookmarkStart w:id="415" w:name="_Toc18679513"/>
      <w:bookmarkStart w:id="416" w:name="_Toc18679705"/>
      <w:bookmarkStart w:id="417" w:name="_Toc18679896"/>
      <w:bookmarkStart w:id="418" w:name="_Toc18680087"/>
      <w:bookmarkStart w:id="419" w:name="_Toc18680277"/>
      <w:bookmarkStart w:id="420" w:name="_Toc18675095"/>
      <w:bookmarkStart w:id="421" w:name="_Toc18675286"/>
      <w:bookmarkStart w:id="422" w:name="_Toc18675795"/>
      <w:bookmarkStart w:id="423" w:name="_Toc18678554"/>
      <w:bookmarkStart w:id="424" w:name="_Toc18678745"/>
      <w:bookmarkStart w:id="425" w:name="_Toc18678958"/>
      <w:bookmarkStart w:id="426" w:name="_Toc18679149"/>
      <w:bookmarkStart w:id="427" w:name="_Toc18679514"/>
      <w:bookmarkStart w:id="428" w:name="_Toc18679706"/>
      <w:bookmarkStart w:id="429" w:name="_Toc18679897"/>
      <w:bookmarkStart w:id="430" w:name="_Toc18680088"/>
      <w:bookmarkStart w:id="431" w:name="_Toc18680278"/>
      <w:bookmarkStart w:id="432" w:name="_Toc18675096"/>
      <w:bookmarkStart w:id="433" w:name="_Toc18675287"/>
      <w:bookmarkStart w:id="434" w:name="_Toc18675796"/>
      <w:bookmarkStart w:id="435" w:name="_Toc18678555"/>
      <w:bookmarkStart w:id="436" w:name="_Toc18678746"/>
      <w:bookmarkStart w:id="437" w:name="_Toc18678959"/>
      <w:bookmarkStart w:id="438" w:name="_Toc18679150"/>
      <w:bookmarkStart w:id="439" w:name="_Toc18679515"/>
      <w:bookmarkStart w:id="440" w:name="_Toc18679707"/>
      <w:bookmarkStart w:id="441" w:name="_Toc18679898"/>
      <w:bookmarkStart w:id="442" w:name="_Toc18680089"/>
      <w:bookmarkStart w:id="443" w:name="_Toc18680279"/>
      <w:bookmarkStart w:id="444" w:name="_Toc18675097"/>
      <w:bookmarkStart w:id="445" w:name="_Toc18675288"/>
      <w:bookmarkStart w:id="446" w:name="_Toc18675797"/>
      <w:bookmarkStart w:id="447" w:name="_Toc18678556"/>
      <w:bookmarkStart w:id="448" w:name="_Toc18678747"/>
      <w:bookmarkStart w:id="449" w:name="_Toc18678960"/>
      <w:bookmarkStart w:id="450" w:name="_Toc18679151"/>
      <w:bookmarkStart w:id="451" w:name="_Toc18679516"/>
      <w:bookmarkStart w:id="452" w:name="_Toc18679708"/>
      <w:bookmarkStart w:id="453" w:name="_Toc18679899"/>
      <w:bookmarkStart w:id="454" w:name="_Toc18680090"/>
      <w:bookmarkStart w:id="455" w:name="_Toc18680280"/>
      <w:bookmarkStart w:id="456" w:name="_Toc18675098"/>
      <w:bookmarkStart w:id="457" w:name="_Toc18675289"/>
      <w:bookmarkStart w:id="458" w:name="_Toc18675798"/>
      <w:bookmarkStart w:id="459" w:name="_Toc18678557"/>
      <w:bookmarkStart w:id="460" w:name="_Toc18678748"/>
      <w:bookmarkStart w:id="461" w:name="_Toc18678961"/>
      <w:bookmarkStart w:id="462" w:name="_Toc18679152"/>
      <w:bookmarkStart w:id="463" w:name="_Toc18679517"/>
      <w:bookmarkStart w:id="464" w:name="_Toc18679709"/>
      <w:bookmarkStart w:id="465" w:name="_Toc18679900"/>
      <w:bookmarkStart w:id="466" w:name="_Toc18680091"/>
      <w:bookmarkStart w:id="467" w:name="_Toc18680281"/>
      <w:bookmarkStart w:id="468" w:name="_Toc18675099"/>
      <w:bookmarkStart w:id="469" w:name="_Toc18675290"/>
      <w:bookmarkStart w:id="470" w:name="_Toc18675799"/>
      <w:bookmarkStart w:id="471" w:name="_Toc18678558"/>
      <w:bookmarkStart w:id="472" w:name="_Toc18678749"/>
      <w:bookmarkStart w:id="473" w:name="_Toc18678962"/>
      <w:bookmarkStart w:id="474" w:name="_Toc18679153"/>
      <w:bookmarkStart w:id="475" w:name="_Toc18679518"/>
      <w:bookmarkStart w:id="476" w:name="_Toc18679710"/>
      <w:bookmarkStart w:id="477" w:name="_Toc18679901"/>
      <w:bookmarkStart w:id="478" w:name="_Toc18680092"/>
      <w:bookmarkStart w:id="479" w:name="_Toc18680282"/>
      <w:bookmarkStart w:id="480" w:name="_Toc18675100"/>
      <w:bookmarkStart w:id="481" w:name="_Toc18675291"/>
      <w:bookmarkStart w:id="482" w:name="_Toc18675800"/>
      <w:bookmarkStart w:id="483" w:name="_Toc18678559"/>
      <w:bookmarkStart w:id="484" w:name="_Toc18678750"/>
      <w:bookmarkStart w:id="485" w:name="_Toc18678963"/>
      <w:bookmarkStart w:id="486" w:name="_Toc18679154"/>
      <w:bookmarkStart w:id="487" w:name="_Toc18679519"/>
      <w:bookmarkStart w:id="488" w:name="_Toc18679711"/>
      <w:bookmarkStart w:id="489" w:name="_Toc18679902"/>
      <w:bookmarkStart w:id="490" w:name="_Toc18680093"/>
      <w:bookmarkStart w:id="491" w:name="_Toc18680283"/>
      <w:bookmarkStart w:id="492" w:name="_Toc18675101"/>
      <w:bookmarkStart w:id="493" w:name="_Toc18675292"/>
      <w:bookmarkStart w:id="494" w:name="_Toc18675801"/>
      <w:bookmarkStart w:id="495" w:name="_Toc18678560"/>
      <w:bookmarkStart w:id="496" w:name="_Toc18678751"/>
      <w:bookmarkStart w:id="497" w:name="_Toc18678964"/>
      <w:bookmarkStart w:id="498" w:name="_Toc18679155"/>
      <w:bookmarkStart w:id="499" w:name="_Toc18679520"/>
      <w:bookmarkStart w:id="500" w:name="_Toc18679712"/>
      <w:bookmarkStart w:id="501" w:name="_Toc18679903"/>
      <w:bookmarkStart w:id="502" w:name="_Toc18680094"/>
      <w:bookmarkStart w:id="503" w:name="_Toc18680284"/>
      <w:bookmarkStart w:id="504" w:name="_Toc18675102"/>
      <w:bookmarkStart w:id="505" w:name="_Toc18675293"/>
      <w:bookmarkStart w:id="506" w:name="_Toc18675802"/>
      <w:bookmarkStart w:id="507" w:name="_Toc18678561"/>
      <w:bookmarkStart w:id="508" w:name="_Toc18678752"/>
      <w:bookmarkStart w:id="509" w:name="_Toc18678965"/>
      <w:bookmarkStart w:id="510" w:name="_Toc18679156"/>
      <w:bookmarkStart w:id="511" w:name="_Toc18679521"/>
      <w:bookmarkStart w:id="512" w:name="_Toc18679713"/>
      <w:bookmarkStart w:id="513" w:name="_Toc18679904"/>
      <w:bookmarkStart w:id="514" w:name="_Toc18680095"/>
      <w:bookmarkStart w:id="515" w:name="_Toc18680285"/>
      <w:bookmarkStart w:id="516" w:name="_Toc18675103"/>
      <w:bookmarkStart w:id="517" w:name="_Toc18675294"/>
      <w:bookmarkStart w:id="518" w:name="_Toc18675803"/>
      <w:bookmarkStart w:id="519" w:name="_Toc18678562"/>
      <w:bookmarkStart w:id="520" w:name="_Toc18678753"/>
      <w:bookmarkStart w:id="521" w:name="_Toc18678966"/>
      <w:bookmarkStart w:id="522" w:name="_Toc18679157"/>
      <w:bookmarkStart w:id="523" w:name="_Toc18679522"/>
      <w:bookmarkStart w:id="524" w:name="_Toc18679714"/>
      <w:bookmarkStart w:id="525" w:name="_Toc18679905"/>
      <w:bookmarkStart w:id="526" w:name="_Toc18680096"/>
      <w:bookmarkStart w:id="527" w:name="_Toc18680286"/>
      <w:bookmarkStart w:id="528" w:name="_Toc18675104"/>
      <w:bookmarkStart w:id="529" w:name="_Toc18675295"/>
      <w:bookmarkStart w:id="530" w:name="_Toc18675804"/>
      <w:bookmarkStart w:id="531" w:name="_Toc18678563"/>
      <w:bookmarkStart w:id="532" w:name="_Toc18678754"/>
      <w:bookmarkStart w:id="533" w:name="_Toc18678967"/>
      <w:bookmarkStart w:id="534" w:name="_Toc18679158"/>
      <w:bookmarkStart w:id="535" w:name="_Toc18679523"/>
      <w:bookmarkStart w:id="536" w:name="_Toc18679715"/>
      <w:bookmarkStart w:id="537" w:name="_Toc18679906"/>
      <w:bookmarkStart w:id="538" w:name="_Toc18680097"/>
      <w:bookmarkStart w:id="539" w:name="_Toc18680287"/>
      <w:bookmarkStart w:id="540" w:name="_Toc18675105"/>
      <w:bookmarkStart w:id="541" w:name="_Toc18675296"/>
      <w:bookmarkStart w:id="542" w:name="_Toc18675805"/>
      <w:bookmarkStart w:id="543" w:name="_Toc18678564"/>
      <w:bookmarkStart w:id="544" w:name="_Toc18678755"/>
      <w:bookmarkStart w:id="545" w:name="_Toc18678968"/>
      <w:bookmarkStart w:id="546" w:name="_Toc18679159"/>
      <w:bookmarkStart w:id="547" w:name="_Toc18679524"/>
      <w:bookmarkStart w:id="548" w:name="_Toc18679716"/>
      <w:bookmarkStart w:id="549" w:name="_Toc18679907"/>
      <w:bookmarkStart w:id="550" w:name="_Toc18680098"/>
      <w:bookmarkStart w:id="551" w:name="_Toc18680288"/>
      <w:bookmarkStart w:id="552" w:name="_Toc18675106"/>
      <w:bookmarkStart w:id="553" w:name="_Toc18675297"/>
      <w:bookmarkStart w:id="554" w:name="_Toc18675806"/>
      <w:bookmarkStart w:id="555" w:name="_Toc18678565"/>
      <w:bookmarkStart w:id="556" w:name="_Toc18678756"/>
      <w:bookmarkStart w:id="557" w:name="_Toc18678969"/>
      <w:bookmarkStart w:id="558" w:name="_Toc18679160"/>
      <w:bookmarkStart w:id="559" w:name="_Toc18679525"/>
      <w:bookmarkStart w:id="560" w:name="_Toc18679717"/>
      <w:bookmarkStart w:id="561" w:name="_Toc18679908"/>
      <w:bookmarkStart w:id="562" w:name="_Toc18680099"/>
      <w:bookmarkStart w:id="563" w:name="_Toc18680289"/>
      <w:bookmarkStart w:id="564" w:name="_Toc18675107"/>
      <w:bookmarkStart w:id="565" w:name="_Toc18675298"/>
      <w:bookmarkStart w:id="566" w:name="_Toc18675807"/>
      <w:bookmarkStart w:id="567" w:name="_Toc18678566"/>
      <w:bookmarkStart w:id="568" w:name="_Toc18678757"/>
      <w:bookmarkStart w:id="569" w:name="_Toc18678970"/>
      <w:bookmarkStart w:id="570" w:name="_Toc18679161"/>
      <w:bookmarkStart w:id="571" w:name="_Toc18679526"/>
      <w:bookmarkStart w:id="572" w:name="_Toc18679718"/>
      <w:bookmarkStart w:id="573" w:name="_Toc18679909"/>
      <w:bookmarkStart w:id="574" w:name="_Toc18680100"/>
      <w:bookmarkStart w:id="575" w:name="_Toc18680290"/>
      <w:bookmarkStart w:id="576" w:name="_Toc18675108"/>
      <w:bookmarkStart w:id="577" w:name="_Toc18675299"/>
      <w:bookmarkStart w:id="578" w:name="_Toc18675808"/>
      <w:bookmarkStart w:id="579" w:name="_Toc18678567"/>
      <w:bookmarkStart w:id="580" w:name="_Toc18678758"/>
      <w:bookmarkStart w:id="581" w:name="_Toc18678971"/>
      <w:bookmarkStart w:id="582" w:name="_Toc18679162"/>
      <w:bookmarkStart w:id="583" w:name="_Toc18679527"/>
      <w:bookmarkStart w:id="584" w:name="_Toc18679719"/>
      <w:bookmarkStart w:id="585" w:name="_Toc18679910"/>
      <w:bookmarkStart w:id="586" w:name="_Toc18680101"/>
      <w:bookmarkStart w:id="587" w:name="_Toc18680291"/>
      <w:bookmarkStart w:id="588" w:name="_Toc18675109"/>
      <w:bookmarkStart w:id="589" w:name="_Toc18675300"/>
      <w:bookmarkStart w:id="590" w:name="_Toc18675809"/>
      <w:bookmarkStart w:id="591" w:name="_Toc18678568"/>
      <w:bookmarkStart w:id="592" w:name="_Toc18678759"/>
      <w:bookmarkStart w:id="593" w:name="_Toc18678972"/>
      <w:bookmarkStart w:id="594" w:name="_Toc18679163"/>
      <w:bookmarkStart w:id="595" w:name="_Toc18679528"/>
      <w:bookmarkStart w:id="596" w:name="_Toc18679720"/>
      <w:bookmarkStart w:id="597" w:name="_Toc18679911"/>
      <w:bookmarkStart w:id="598" w:name="_Toc18680102"/>
      <w:bookmarkStart w:id="599" w:name="_Toc18680292"/>
      <w:bookmarkStart w:id="600" w:name="_Toc18675110"/>
      <w:bookmarkStart w:id="601" w:name="_Toc18675301"/>
      <w:bookmarkStart w:id="602" w:name="_Toc18675810"/>
      <w:bookmarkStart w:id="603" w:name="_Toc18678569"/>
      <w:bookmarkStart w:id="604" w:name="_Toc18678760"/>
      <w:bookmarkStart w:id="605" w:name="_Toc18678973"/>
      <w:bookmarkStart w:id="606" w:name="_Toc18679164"/>
      <w:bookmarkStart w:id="607" w:name="_Toc18679529"/>
      <w:bookmarkStart w:id="608" w:name="_Toc18679721"/>
      <w:bookmarkStart w:id="609" w:name="_Toc18679912"/>
      <w:bookmarkStart w:id="610" w:name="_Toc18680103"/>
      <w:bookmarkStart w:id="611" w:name="_Toc18680293"/>
      <w:bookmarkStart w:id="612" w:name="_Toc19005600"/>
      <w:bookmarkStart w:id="613" w:name="_Toc101439039"/>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t>2</w:t>
      </w:r>
      <w:r w:rsidR="00AF6B8C">
        <w:t>3</w:t>
      </w:r>
      <w:r>
        <w:t>.1   Chemical Carcinogens</w:t>
      </w:r>
      <w:bookmarkEnd w:id="612"/>
      <w:bookmarkEnd w:id="613"/>
    </w:p>
    <w:p w14:paraId="61821CAD" w14:textId="261F639B" w:rsidR="00BD6D22" w:rsidRPr="0090117D" w:rsidRDefault="00E9069F" w:rsidP="00BD6D22">
      <w:pPr>
        <w:rPr>
          <w:lang w:eastAsia="en-US"/>
        </w:rPr>
      </w:pPr>
      <w:r>
        <w:t>Carcinogenic chemicals are hazardous substances that may cause cancer. Three schedules of carcinogenic chemicals have been declared under The Occupational Safety and Health Regulations 1996 (WA).</w:t>
      </w:r>
      <w:r w:rsidR="00EF17D7" w:rsidRPr="00EF17D7">
        <w:t xml:space="preserve"> </w:t>
      </w:r>
      <w:r>
        <w:rPr>
          <w:lang w:eastAsia="en-US"/>
        </w:rPr>
        <w:t>If the</w:t>
      </w:r>
      <w:r w:rsidR="00FD368D">
        <w:rPr>
          <w:lang w:eastAsia="en-US"/>
        </w:rPr>
        <w:t xml:space="preserve"> use of a scheduled carcinogen is</w:t>
      </w:r>
      <w:r>
        <w:rPr>
          <w:lang w:eastAsia="en-US"/>
        </w:rPr>
        <w:t xml:space="preserve"> required, contact </w:t>
      </w:r>
      <w:r w:rsidR="00FF0EFE">
        <w:rPr>
          <w:lang w:eastAsia="en-US"/>
        </w:rPr>
        <w:t>Health and Safety</w:t>
      </w:r>
      <w:r>
        <w:rPr>
          <w:lang w:eastAsia="en-US"/>
        </w:rPr>
        <w:t xml:space="preserve"> for </w:t>
      </w:r>
      <w:proofErr w:type="gramStart"/>
      <w:r>
        <w:rPr>
          <w:lang w:eastAsia="en-US"/>
        </w:rPr>
        <w:t>information</w:t>
      </w:r>
      <w:r w:rsidR="00FF0EFE">
        <w:rPr>
          <w:lang w:eastAsia="en-US"/>
        </w:rPr>
        <w:t>.</w:t>
      </w:r>
      <w:r>
        <w:rPr>
          <w:lang w:eastAsia="en-US"/>
        </w:rPr>
        <w:t>.</w:t>
      </w:r>
      <w:proofErr w:type="gramEnd"/>
      <w:r>
        <w:rPr>
          <w:lang w:eastAsia="en-US"/>
        </w:rPr>
        <w:t xml:space="preserve"> </w:t>
      </w:r>
    </w:p>
    <w:p w14:paraId="61821CAE" w14:textId="77777777" w:rsidR="00EF17D7" w:rsidRDefault="00E9069F" w:rsidP="00EF17D7">
      <w:pPr>
        <w:spacing w:before="120"/>
      </w:pPr>
      <w:r>
        <w:t>The scheduled substances below are not an exhaustive list of carcinogens. If a chemical is classified as carcinogenic</w:t>
      </w:r>
      <w:r w:rsidR="00BD6D22">
        <w:t>, a thorough risk assessment should be performed.</w:t>
      </w:r>
    </w:p>
    <w:p w14:paraId="61821CAF" w14:textId="77777777" w:rsidR="00EF17D7" w:rsidRDefault="00E9069F" w:rsidP="00EF17D7">
      <w:pPr>
        <w:spacing w:before="120"/>
      </w:pPr>
      <w:r>
        <w:t xml:space="preserve">The </w:t>
      </w:r>
      <w:r w:rsidR="00BD6D22">
        <w:t xml:space="preserve">listed </w:t>
      </w:r>
      <w:r>
        <w:t xml:space="preserve">carcinogenic substances are subject to the scheduled restrictions as a pure substance; or in a mixture containing 0.1% or more of that substance determined as a weight/weight (w/w) concentration for solids or liquids, or a volume/volume (v/v) concentration for gases. They must not be used without the approval of the Commissioner of </w:t>
      </w:r>
      <w:proofErr w:type="spellStart"/>
      <w:r>
        <w:t>Worksafe</w:t>
      </w:r>
      <w:proofErr w:type="spellEnd"/>
      <w:r>
        <w:t>.</w:t>
      </w:r>
    </w:p>
    <w:p w14:paraId="61821CB0" w14:textId="1D3D0335" w:rsidR="003E319D" w:rsidRDefault="00D737C4" w:rsidP="005E44A4">
      <w:pPr>
        <w:pStyle w:val="Heading2"/>
      </w:pPr>
      <w:bookmarkStart w:id="614" w:name="_Toc19005601"/>
      <w:bookmarkStart w:id="615" w:name="_Toc101439040"/>
      <w:r>
        <w:t>2</w:t>
      </w:r>
      <w:r w:rsidR="00AF6B8C">
        <w:t>3</w:t>
      </w:r>
      <w:r w:rsidR="00E9069F">
        <w:t xml:space="preserve">.2   </w:t>
      </w:r>
      <w:r w:rsidR="00EF17D7">
        <w:t>Carcinogenic substances only to be used for bona fide research</w:t>
      </w:r>
      <w:bookmarkEnd w:id="614"/>
      <w:bookmarkEnd w:id="615"/>
    </w:p>
    <w:p w14:paraId="61821CB1" w14:textId="77777777" w:rsidR="00EF17D7" w:rsidRDefault="00E9069F" w:rsidP="00EF17D7">
      <w:r>
        <w:t xml:space="preserve">The listed Schedule 5.4 substances have been identified as Carcinogenic substances to be used only for bona fide research under the Occupational Safety &amp; Health Regulations 1996. The Commissioner must be notified of the intention to use a Schedule 5.4 carcinogenic substance in the workplace prior to the commencement of work. </w:t>
      </w:r>
    </w:p>
    <w:p w14:paraId="61821CB2" w14:textId="77777777" w:rsidR="003E319D" w:rsidRDefault="00E9069F" w:rsidP="00E27BFA">
      <w:r>
        <w:t>Schedule 5.4 Substances</w:t>
      </w:r>
    </w:p>
    <w:p w14:paraId="61821CB3" w14:textId="77777777" w:rsidR="003E319D" w:rsidRDefault="00E9069F" w:rsidP="002D2118">
      <w:pPr>
        <w:pStyle w:val="Bullet1"/>
      </w:pPr>
      <w:r>
        <w:t>2-Acetylaminofluorene</w:t>
      </w:r>
    </w:p>
    <w:p w14:paraId="61821CB4" w14:textId="77777777" w:rsidR="003E319D" w:rsidRDefault="00E9069F" w:rsidP="002D2118">
      <w:pPr>
        <w:pStyle w:val="Bullet1"/>
      </w:pPr>
      <w:proofErr w:type="spellStart"/>
      <w:r>
        <w:t>Alfatoxins</w:t>
      </w:r>
      <w:proofErr w:type="spellEnd"/>
    </w:p>
    <w:p w14:paraId="61821CB5" w14:textId="77777777" w:rsidR="003E319D" w:rsidRDefault="00E9069F" w:rsidP="002D2118">
      <w:pPr>
        <w:pStyle w:val="Bullet1"/>
      </w:pPr>
      <w:r>
        <w:t>4-Aminodiphenyl</w:t>
      </w:r>
    </w:p>
    <w:p w14:paraId="61821CB6" w14:textId="77777777" w:rsidR="003E319D" w:rsidRDefault="00E9069F" w:rsidP="00391E62">
      <w:pPr>
        <w:pStyle w:val="Bullet1"/>
      </w:pPr>
      <w:r>
        <w:t>Benzidine and its salts</w:t>
      </w:r>
    </w:p>
    <w:p w14:paraId="61821CB7" w14:textId="77777777" w:rsidR="003E319D" w:rsidRDefault="00E9069F" w:rsidP="00391E62">
      <w:pPr>
        <w:pStyle w:val="Bullet1"/>
      </w:pPr>
      <w:r>
        <w:t>Bis(chloromethyl) ether</w:t>
      </w:r>
    </w:p>
    <w:p w14:paraId="61821CB8" w14:textId="77777777" w:rsidR="003E319D" w:rsidRDefault="00E9069F" w:rsidP="00F614A2">
      <w:pPr>
        <w:pStyle w:val="Bullet1"/>
      </w:pPr>
      <w:r>
        <w:t>Chloromethyl methyl ether (technical grade)</w:t>
      </w:r>
    </w:p>
    <w:p w14:paraId="61821CB9" w14:textId="77777777" w:rsidR="003E319D" w:rsidRDefault="00E9069F" w:rsidP="00F614A2">
      <w:pPr>
        <w:pStyle w:val="Bullet1"/>
      </w:pPr>
      <w:r>
        <w:t>4-Diaminoazobenzene</w:t>
      </w:r>
    </w:p>
    <w:p w14:paraId="61821CBA" w14:textId="77777777" w:rsidR="003E319D" w:rsidRDefault="00E9069F" w:rsidP="00F614A2">
      <w:pPr>
        <w:pStyle w:val="Bullet1"/>
      </w:pPr>
      <w:r>
        <w:t>2-Napthylamine and its salts</w:t>
      </w:r>
    </w:p>
    <w:p w14:paraId="61821CBB" w14:textId="77777777" w:rsidR="003E319D" w:rsidRDefault="00E9069F" w:rsidP="00F614A2">
      <w:pPr>
        <w:pStyle w:val="Bullet1"/>
      </w:pPr>
      <w:r>
        <w:t>4-Nitrodiphenyl</w:t>
      </w:r>
    </w:p>
    <w:p w14:paraId="61821CBC" w14:textId="3695C7C2" w:rsidR="00EF17D7" w:rsidRDefault="00D737C4" w:rsidP="005E44A4">
      <w:pPr>
        <w:pStyle w:val="Heading2"/>
      </w:pPr>
      <w:bookmarkStart w:id="616" w:name="_Toc19005602"/>
      <w:bookmarkStart w:id="617" w:name="_Toc101439041"/>
      <w:r>
        <w:t>2</w:t>
      </w:r>
      <w:r w:rsidR="00AF6B8C">
        <w:t>3</w:t>
      </w:r>
      <w:r w:rsidR="00E9069F">
        <w:t xml:space="preserve">.3   Carcinogenic substances only to be used for purposes approved by the </w:t>
      </w:r>
      <w:r w:rsidR="00706815">
        <w:t>C</w:t>
      </w:r>
      <w:r w:rsidR="00E9069F">
        <w:t>ommissioner</w:t>
      </w:r>
      <w:bookmarkEnd w:id="616"/>
      <w:bookmarkEnd w:id="617"/>
    </w:p>
    <w:p w14:paraId="61821CBD" w14:textId="77777777" w:rsidR="00EF17D7" w:rsidRDefault="00E9069F" w:rsidP="00EF17D7">
      <w:r>
        <w:t xml:space="preserve">The listed Schedule 5.5 substances have been identified as requiring approval by the Commissioner of </w:t>
      </w:r>
      <w:proofErr w:type="spellStart"/>
      <w:r>
        <w:t>Worksafe</w:t>
      </w:r>
      <w:proofErr w:type="spellEnd"/>
      <w:r>
        <w:t xml:space="preserve"> under the Occupational Safety &amp; Health Regulations 1996. This approval must be obtained prior to the commencement of work. </w:t>
      </w:r>
    </w:p>
    <w:p w14:paraId="61821CBE" w14:textId="77777777" w:rsidR="00420B6B" w:rsidRDefault="00E9069F" w:rsidP="00420B6B">
      <w:r>
        <w:t>Schedule 5.5 Substances</w:t>
      </w:r>
    </w:p>
    <w:p w14:paraId="61821CBF" w14:textId="77777777" w:rsidR="003E319D" w:rsidRDefault="00E9069F" w:rsidP="002D2118">
      <w:pPr>
        <w:pStyle w:val="Bullet1"/>
      </w:pPr>
      <w:r>
        <w:t>Acrylonitrile</w:t>
      </w:r>
    </w:p>
    <w:p w14:paraId="61821CC0" w14:textId="77777777" w:rsidR="003E319D" w:rsidRDefault="00E9069F" w:rsidP="002D2118">
      <w:pPr>
        <w:pStyle w:val="Bullet1"/>
      </w:pPr>
      <w:r>
        <w:lastRenderedPageBreak/>
        <w:t>Benzene (when used as a feedstock and containing more than 50% benzene by volume)</w:t>
      </w:r>
    </w:p>
    <w:p w14:paraId="61821CC1" w14:textId="77777777" w:rsidR="003E319D" w:rsidRDefault="00E9069F" w:rsidP="002D2118">
      <w:pPr>
        <w:pStyle w:val="Bullet1"/>
      </w:pPr>
      <w:r>
        <w:t>Cyclophosphamide [(a cytotoxic drug) when used in preparation for therapeutic use in hospitals and oncology treatment facilities and in manufacturing operations]</w:t>
      </w:r>
    </w:p>
    <w:p w14:paraId="61821CC2" w14:textId="77777777" w:rsidR="003E319D" w:rsidRDefault="00E9069F" w:rsidP="00391E62">
      <w:pPr>
        <w:pStyle w:val="Bullet1"/>
      </w:pPr>
      <w:r>
        <w:t>3,3-Dichlorobenzidine and its salts (including 3,3-dichlorobenzidine dichloride)</w:t>
      </w:r>
    </w:p>
    <w:p w14:paraId="61821CC3" w14:textId="77777777" w:rsidR="003E319D" w:rsidRDefault="00E9069F" w:rsidP="00391E62">
      <w:pPr>
        <w:pStyle w:val="Bullet1"/>
      </w:pPr>
      <w:r>
        <w:t>Diethyl sulphate</w:t>
      </w:r>
    </w:p>
    <w:p w14:paraId="61821CC4" w14:textId="77777777" w:rsidR="003E319D" w:rsidRDefault="00E9069F" w:rsidP="00F614A2">
      <w:pPr>
        <w:pStyle w:val="Bullet1"/>
      </w:pPr>
      <w:r>
        <w:t>Dimethyl sulphate</w:t>
      </w:r>
    </w:p>
    <w:p w14:paraId="61821CC5" w14:textId="77777777" w:rsidR="003E319D" w:rsidRDefault="00E9069F" w:rsidP="00F614A2">
      <w:pPr>
        <w:pStyle w:val="Bullet1"/>
      </w:pPr>
      <w:r>
        <w:t>Ethylene dibromide (when used as a fumigant)</w:t>
      </w:r>
    </w:p>
    <w:p w14:paraId="61821CC6" w14:textId="77777777" w:rsidR="003E319D" w:rsidRDefault="00E9069F" w:rsidP="00F614A2">
      <w:pPr>
        <w:pStyle w:val="Bullet1"/>
      </w:pPr>
      <w:r>
        <w:t>4-4’-Methylene bis(2-chloroaniline) – (MOCA)</w:t>
      </w:r>
    </w:p>
    <w:p w14:paraId="61821CC7" w14:textId="77777777" w:rsidR="003E319D" w:rsidRDefault="00E9069F" w:rsidP="00F614A2">
      <w:pPr>
        <w:pStyle w:val="Bullet1"/>
      </w:pPr>
      <w:r>
        <w:t>Beta-Propiolactone (2-propiolactone)</w:t>
      </w:r>
    </w:p>
    <w:p w14:paraId="61821CC8" w14:textId="77777777" w:rsidR="003E319D" w:rsidRDefault="00E9069F" w:rsidP="00F614A2">
      <w:pPr>
        <w:pStyle w:val="Bullet1"/>
      </w:pPr>
      <w:r>
        <w:t>O-Toluidine and O-Toluidine hydrochloride</w:t>
      </w:r>
    </w:p>
    <w:p w14:paraId="61821CC9" w14:textId="77777777" w:rsidR="003E319D" w:rsidRDefault="00E9069F" w:rsidP="009720D8">
      <w:pPr>
        <w:pStyle w:val="Bullet1"/>
      </w:pPr>
      <w:r>
        <w:t xml:space="preserve">Vinyl Chloride Monomer </w:t>
      </w:r>
    </w:p>
    <w:p w14:paraId="61821CCA" w14:textId="52F4179D" w:rsidR="00EF17D7" w:rsidRDefault="00D737C4" w:rsidP="005E44A4">
      <w:pPr>
        <w:pStyle w:val="Heading2"/>
      </w:pPr>
      <w:bookmarkStart w:id="618" w:name="_Toc19005603"/>
      <w:bookmarkStart w:id="619" w:name="_Toc101439042"/>
      <w:r>
        <w:t>2</w:t>
      </w:r>
      <w:r w:rsidR="00AF6B8C">
        <w:t>3</w:t>
      </w:r>
      <w:r w:rsidR="00E9069F">
        <w:t>.4   Carcinogenic substances – Asbestos</w:t>
      </w:r>
      <w:bookmarkEnd w:id="618"/>
      <w:bookmarkEnd w:id="619"/>
    </w:p>
    <w:p w14:paraId="61821CCB" w14:textId="77777777" w:rsidR="00706815" w:rsidRDefault="00E9069F" w:rsidP="00706815">
      <w:r>
        <w:t xml:space="preserve">The Schedule 5.6 substances listed below require approval from the Commissioner of </w:t>
      </w:r>
      <w:proofErr w:type="spellStart"/>
      <w:r>
        <w:t>Worksafe</w:t>
      </w:r>
      <w:proofErr w:type="spellEnd"/>
      <w:r>
        <w:t xml:space="preserve"> for the purposes of research and analysis under the Occupational Safety &amp; Health Regulations 1996. This approval must be obtained prior to the commencement of work. </w:t>
      </w:r>
    </w:p>
    <w:p w14:paraId="61821CCD" w14:textId="77777777" w:rsidR="00420B6B" w:rsidRDefault="00E9069F" w:rsidP="00420B6B">
      <w:r>
        <w:t>Schedule 5.6 Substances</w:t>
      </w:r>
    </w:p>
    <w:p w14:paraId="61821CCE" w14:textId="77777777" w:rsidR="00EF17D7" w:rsidRDefault="00E9069F">
      <w:pPr>
        <w:pStyle w:val="Bullet1"/>
      </w:pPr>
      <w:r>
        <w:t>Actinolite asbestos</w:t>
      </w:r>
    </w:p>
    <w:p w14:paraId="61821CCF" w14:textId="77777777" w:rsidR="00420B6B" w:rsidRDefault="00E9069F">
      <w:pPr>
        <w:pStyle w:val="Bullet1"/>
      </w:pPr>
      <w:r>
        <w:t>Amosite (brown asbestos)</w:t>
      </w:r>
    </w:p>
    <w:p w14:paraId="61821CD0" w14:textId="77777777" w:rsidR="00420B6B" w:rsidRDefault="00E9069F">
      <w:pPr>
        <w:pStyle w:val="Bullet1"/>
      </w:pPr>
      <w:r>
        <w:t>Anthophyllite asbestos</w:t>
      </w:r>
    </w:p>
    <w:p w14:paraId="61821CD1" w14:textId="77777777" w:rsidR="00420B6B" w:rsidRDefault="00E9069F">
      <w:pPr>
        <w:pStyle w:val="Bullet1"/>
      </w:pPr>
      <w:r>
        <w:t>Crocidolite (blue asbestos)</w:t>
      </w:r>
    </w:p>
    <w:p w14:paraId="61821CD2" w14:textId="77777777" w:rsidR="00420B6B" w:rsidRDefault="00E9069F">
      <w:pPr>
        <w:pStyle w:val="Bullet1"/>
      </w:pPr>
      <w:r>
        <w:t>Chrysotile (white asbestos)</w:t>
      </w:r>
    </w:p>
    <w:p w14:paraId="61821CD3" w14:textId="77777777" w:rsidR="00420B6B" w:rsidRDefault="00E9069F">
      <w:pPr>
        <w:pStyle w:val="Bullet1"/>
      </w:pPr>
      <w:r>
        <w:t>Tremolite asbestos</w:t>
      </w:r>
    </w:p>
    <w:p w14:paraId="61821CD4" w14:textId="5EDEE2B2" w:rsidR="003E319D" w:rsidRDefault="00D737C4" w:rsidP="005E44A4">
      <w:pPr>
        <w:pStyle w:val="Heading2"/>
      </w:pPr>
      <w:bookmarkStart w:id="620" w:name="_Toc19005604"/>
      <w:bookmarkStart w:id="621" w:name="_Toc101439043"/>
      <w:r>
        <w:t>2</w:t>
      </w:r>
      <w:r w:rsidR="00AF6B8C">
        <w:t>3</w:t>
      </w:r>
      <w:r w:rsidR="00E9069F">
        <w:t xml:space="preserve">.5   </w:t>
      </w:r>
      <w:r w:rsidR="0090117D">
        <w:t xml:space="preserve">Access, </w:t>
      </w:r>
      <w:r w:rsidR="00E9069F">
        <w:t xml:space="preserve">Health Surveillance </w:t>
      </w:r>
      <w:r w:rsidR="00420B6B">
        <w:t>&amp; Records</w:t>
      </w:r>
      <w:bookmarkEnd w:id="620"/>
      <w:bookmarkEnd w:id="621"/>
    </w:p>
    <w:p w14:paraId="61821CD5" w14:textId="77777777" w:rsidR="0090117D" w:rsidRDefault="00E9069F" w:rsidP="0090117D">
      <w:r>
        <w:t xml:space="preserve">Access to scheduled carcinogens should be restricted to staff or students who: </w:t>
      </w:r>
    </w:p>
    <w:p w14:paraId="61821CD6" w14:textId="77777777" w:rsidR="0090117D" w:rsidRDefault="00E9069F" w:rsidP="002D2118">
      <w:pPr>
        <w:pStyle w:val="Bullet1"/>
      </w:pPr>
      <w:r>
        <w:t xml:space="preserve">work directly with the scheduled </w:t>
      </w:r>
      <w:proofErr w:type="gramStart"/>
      <w:r>
        <w:t>carcinogens;</w:t>
      </w:r>
      <w:proofErr w:type="gramEnd"/>
      <w:r>
        <w:t xml:space="preserve"> </w:t>
      </w:r>
    </w:p>
    <w:p w14:paraId="61821CD7" w14:textId="77777777" w:rsidR="0090117D" w:rsidRDefault="00E9069F" w:rsidP="002D2118">
      <w:pPr>
        <w:pStyle w:val="Bullet1"/>
      </w:pPr>
      <w:r>
        <w:t xml:space="preserve">have received chemical training; and </w:t>
      </w:r>
    </w:p>
    <w:p w14:paraId="61821CD8" w14:textId="58199DBA" w:rsidR="0090117D" w:rsidRDefault="00E9069F" w:rsidP="002D2118">
      <w:pPr>
        <w:pStyle w:val="Bullet1"/>
      </w:pPr>
      <w:r>
        <w:t xml:space="preserve">have been fully briefed on </w:t>
      </w:r>
      <w:r w:rsidR="00906378">
        <w:t xml:space="preserve">a </w:t>
      </w:r>
      <w:r>
        <w:t>risk assessment</w:t>
      </w:r>
      <w:r w:rsidR="00906378">
        <w:t xml:space="preserve"> addressing the handling of the carcinogen</w:t>
      </w:r>
      <w:r>
        <w:t xml:space="preserve">. </w:t>
      </w:r>
    </w:p>
    <w:p w14:paraId="61821CD9" w14:textId="3BD90E06" w:rsidR="00706815" w:rsidRDefault="00906378" w:rsidP="00706815">
      <w:pPr>
        <w:pStyle w:val="Bullet1"/>
      </w:pPr>
      <w:r>
        <w:t>r</w:t>
      </w:r>
      <w:r w:rsidR="00E9069F">
        <w:t xml:space="preserve">estricted areas should display appropriate signage (check SDS). </w:t>
      </w:r>
    </w:p>
    <w:p w14:paraId="61821CDA" w14:textId="10FBDB91" w:rsidR="00706815" w:rsidRDefault="00E9069F" w:rsidP="003A782C">
      <w:pPr>
        <w:pStyle w:val="Bullet1"/>
        <w:numPr>
          <w:ilvl w:val="0"/>
          <w:numId w:val="0"/>
        </w:numPr>
      </w:pPr>
      <w:r>
        <w:t xml:space="preserve">Health surveillance is required for scheduled carcinogens and an SDS will provide some initial advice on the types and frequency of health tests required. Health Surveillance will be managed in accordance with the </w:t>
      </w:r>
      <w:hyperlink r:id="rId60" w:history="1">
        <w:r w:rsidRPr="00CB2E9E">
          <w:rPr>
            <w:rStyle w:val="Hyperlink"/>
          </w:rPr>
          <w:t>Health Surveillance Guideline</w:t>
        </w:r>
      </w:hyperlink>
      <w:r>
        <w:t xml:space="preserve">. </w:t>
      </w:r>
    </w:p>
    <w:p w14:paraId="61821CDC" w14:textId="77777777" w:rsidR="003E319D" w:rsidRDefault="00E9069F" w:rsidP="00E27BFA">
      <w:r>
        <w:t xml:space="preserve">Records must be maintained and kept for each person who works with a scheduled carcinogenic substance. The records must contain: </w:t>
      </w:r>
    </w:p>
    <w:p w14:paraId="61821CDD" w14:textId="77777777" w:rsidR="003E319D" w:rsidRDefault="00E9069F" w:rsidP="002D2118">
      <w:pPr>
        <w:pStyle w:val="Bullet1"/>
      </w:pPr>
      <w:r>
        <w:t xml:space="preserve">the person’s full </w:t>
      </w:r>
      <w:proofErr w:type="gramStart"/>
      <w:r>
        <w:t>name;</w:t>
      </w:r>
      <w:proofErr w:type="gramEnd"/>
      <w:r>
        <w:t xml:space="preserve"> </w:t>
      </w:r>
    </w:p>
    <w:p w14:paraId="61821CDE" w14:textId="77777777" w:rsidR="003E319D" w:rsidRDefault="00E9069F" w:rsidP="002D2118">
      <w:pPr>
        <w:pStyle w:val="Bullet1"/>
      </w:pPr>
      <w:r>
        <w:t xml:space="preserve">the person’s date of </w:t>
      </w:r>
      <w:proofErr w:type="gramStart"/>
      <w:r>
        <w:t>birth;</w:t>
      </w:r>
      <w:proofErr w:type="gramEnd"/>
      <w:r>
        <w:t xml:space="preserve"> </w:t>
      </w:r>
    </w:p>
    <w:p w14:paraId="61821CDF" w14:textId="77777777" w:rsidR="003E319D" w:rsidRDefault="00E9069F" w:rsidP="002D2118">
      <w:pPr>
        <w:pStyle w:val="Bullet1"/>
      </w:pPr>
      <w:r>
        <w:lastRenderedPageBreak/>
        <w:t xml:space="preserve">the person’s residential address during the period that the person worked with the scheduled carcinogenic </w:t>
      </w:r>
      <w:proofErr w:type="gramStart"/>
      <w:r>
        <w:t>substance;</w:t>
      </w:r>
      <w:proofErr w:type="gramEnd"/>
      <w:r>
        <w:t xml:space="preserve"> </w:t>
      </w:r>
    </w:p>
    <w:p w14:paraId="61821CE0" w14:textId="77777777" w:rsidR="003E319D" w:rsidRDefault="00E9069F" w:rsidP="00391E62">
      <w:pPr>
        <w:pStyle w:val="Bullet1"/>
      </w:pPr>
      <w:r>
        <w:t xml:space="preserve">the name of each scheduled carcinogenic substance that the person worked with; and </w:t>
      </w:r>
    </w:p>
    <w:p w14:paraId="61821CE1" w14:textId="77777777" w:rsidR="003E319D" w:rsidRDefault="00E9069F" w:rsidP="00391E62">
      <w:pPr>
        <w:pStyle w:val="Bullet1"/>
      </w:pPr>
      <w:r>
        <w:t xml:space="preserve">the </w:t>
      </w:r>
      <w:proofErr w:type="gramStart"/>
      <w:r>
        <w:t>period of time</w:t>
      </w:r>
      <w:proofErr w:type="gramEnd"/>
      <w:r>
        <w:t xml:space="preserve"> over which the person worked with each of the scheduled carcinogenic substances. A written copy outlining the above details must be given to each person who works with a scheduled carcinogenic substance on leaving Curtin. </w:t>
      </w:r>
    </w:p>
    <w:p w14:paraId="61821CE2" w14:textId="007A80B5" w:rsidR="006B57E8" w:rsidRPr="006B57E8" w:rsidRDefault="00E9069F" w:rsidP="006B57E8">
      <w:pPr>
        <w:pStyle w:val="Heading1"/>
        <w:numPr>
          <w:ilvl w:val="0"/>
          <w:numId w:val="0"/>
        </w:numPr>
        <w:tabs>
          <w:tab w:val="clear" w:pos="851"/>
          <w:tab w:val="left" w:pos="426"/>
        </w:tabs>
      </w:pPr>
      <w:bookmarkStart w:id="622" w:name="_Toc19005605"/>
      <w:bookmarkStart w:id="623" w:name="_Toc101439044"/>
      <w:r>
        <w:t>2</w:t>
      </w:r>
      <w:r w:rsidR="00AF6B8C">
        <w:t>4</w:t>
      </w:r>
      <w:r>
        <w:t>.</w:t>
      </w:r>
      <w:r>
        <w:tab/>
        <w:t>Agricultural and Veterinary Chemicals</w:t>
      </w:r>
      <w:bookmarkEnd w:id="622"/>
      <w:bookmarkEnd w:id="623"/>
    </w:p>
    <w:p w14:paraId="61821CE4" w14:textId="47CD86B6" w:rsidR="003E319D" w:rsidRDefault="00E9069F" w:rsidP="005E44A4">
      <w:pPr>
        <w:pStyle w:val="Heading2"/>
      </w:pPr>
      <w:bookmarkStart w:id="624" w:name="_Toc19005606"/>
      <w:bookmarkStart w:id="625" w:name="_Toc101439045"/>
      <w:r>
        <w:t>2</w:t>
      </w:r>
      <w:r w:rsidR="00AF6B8C">
        <w:t>4</w:t>
      </w:r>
      <w:r>
        <w:t xml:space="preserve">.1   </w:t>
      </w:r>
      <w:r w:rsidR="009720D8">
        <w:t>I</w:t>
      </w:r>
      <w:r>
        <w:t>ntroduction</w:t>
      </w:r>
      <w:bookmarkEnd w:id="624"/>
      <w:bookmarkEnd w:id="625"/>
    </w:p>
    <w:p w14:paraId="61821CE5" w14:textId="77777777" w:rsidR="00F51159" w:rsidRDefault="00E9069F" w:rsidP="00E27BFA">
      <w:r>
        <w:t>In addition to the general chemical management requirements, there are additional legislative requirements for agricultural and veterinary chemicals</w:t>
      </w:r>
      <w:r w:rsidR="002225D2">
        <w:t xml:space="preserve"> under the Agricultural and Veterinary </w:t>
      </w:r>
      <w:r w:rsidR="00CA64E5">
        <w:t>C</w:t>
      </w:r>
      <w:r w:rsidR="002225D2">
        <w:t xml:space="preserve">hemicals </w:t>
      </w:r>
      <w:r w:rsidR="00CA64E5">
        <w:t>Act 1995 &amp; Regulations 1995</w:t>
      </w:r>
      <w:r>
        <w:t xml:space="preserve">. The WA government departments that control the use of agricultural and veterinarian chemicals regulation in WA are the Department of Agriculture and Food and the Department of Health WA. </w:t>
      </w:r>
    </w:p>
    <w:p w14:paraId="61821CE6" w14:textId="77777777" w:rsidR="003E319D" w:rsidRDefault="00E9069F" w:rsidP="00E27BFA">
      <w:r w:rsidRPr="00251A8A">
        <w:t>All agricultural and veterinary products</w:t>
      </w:r>
      <w:r>
        <w:t xml:space="preserve"> or their active constituent </w:t>
      </w:r>
      <w:r w:rsidRPr="00251A8A">
        <w:t>sold in Australia must be registered by the Australian Pesticides and Veterinary Medicines Authority (APVMA) which provides approval for a product for the purpose and use as stated on the label.</w:t>
      </w:r>
    </w:p>
    <w:p w14:paraId="61821CE7" w14:textId="3A7B2053" w:rsidR="00AA5E10" w:rsidRDefault="00D737C4" w:rsidP="005E44A4">
      <w:pPr>
        <w:pStyle w:val="Heading2"/>
      </w:pPr>
      <w:bookmarkStart w:id="626" w:name="_Toc19005607"/>
      <w:bookmarkStart w:id="627" w:name="_Toc101439046"/>
      <w:r>
        <w:t>2</w:t>
      </w:r>
      <w:r w:rsidR="00AF6B8C">
        <w:t>4</w:t>
      </w:r>
      <w:r w:rsidR="00E9069F">
        <w:t>.2   Purchase</w:t>
      </w:r>
      <w:bookmarkEnd w:id="626"/>
      <w:bookmarkEnd w:id="627"/>
      <w:r w:rsidR="00E9069F">
        <w:t xml:space="preserve"> </w:t>
      </w:r>
    </w:p>
    <w:p w14:paraId="61821CE8" w14:textId="77777777" w:rsidR="00AA5E10" w:rsidRPr="00AA5E10" w:rsidRDefault="00E9069F" w:rsidP="00AA5E10">
      <w:pPr>
        <w:rPr>
          <w:lang w:eastAsia="en-US"/>
        </w:rPr>
      </w:pPr>
      <w:r>
        <w:rPr>
          <w:lang w:eastAsia="en-US"/>
        </w:rPr>
        <w:t>All chemical purchases</w:t>
      </w:r>
      <w:r w:rsidR="00CC25BD">
        <w:rPr>
          <w:lang w:eastAsia="en-US"/>
        </w:rPr>
        <w:t xml:space="preserve"> </w:t>
      </w:r>
      <w:r w:rsidR="00CC25BD">
        <w:t xml:space="preserve">require a </w:t>
      </w:r>
      <w:hyperlink r:id="rId61" w:history="1">
        <w:r w:rsidR="00CC25BD" w:rsidRPr="008C01D0">
          <w:rPr>
            <w:rStyle w:val="Hyperlink"/>
          </w:rPr>
          <w:t>Chemical or Gas Pre-purchase Checklist</w:t>
        </w:r>
      </w:hyperlink>
      <w:r w:rsidR="00CC25BD">
        <w:t xml:space="preserve"> to be completed.</w:t>
      </w:r>
      <w:r>
        <w:rPr>
          <w:lang w:eastAsia="en-US"/>
        </w:rPr>
        <w:t xml:space="preserve"> Due to the nature of the products, many agricultural &amp; veterinary products are also scheduled poisons. Please refer to (section 20) for more information about </w:t>
      </w:r>
      <w:r w:rsidR="00CC25BD">
        <w:rPr>
          <w:lang w:eastAsia="en-US"/>
        </w:rPr>
        <w:t>the requirements for poisons</w:t>
      </w:r>
      <w:r>
        <w:rPr>
          <w:lang w:eastAsia="en-US"/>
        </w:rPr>
        <w:t xml:space="preserve">. </w:t>
      </w:r>
    </w:p>
    <w:p w14:paraId="61821CE9" w14:textId="686E76C6" w:rsidR="00251A8A" w:rsidRDefault="00D737C4" w:rsidP="005E44A4">
      <w:pPr>
        <w:pStyle w:val="Heading2"/>
      </w:pPr>
      <w:bookmarkStart w:id="628" w:name="_Toc19005608"/>
      <w:bookmarkStart w:id="629" w:name="_Toc101439047"/>
      <w:r>
        <w:t>2</w:t>
      </w:r>
      <w:r w:rsidR="00AF6B8C">
        <w:t>4</w:t>
      </w:r>
      <w:r w:rsidR="00E9069F">
        <w:t xml:space="preserve">.3   </w:t>
      </w:r>
      <w:r w:rsidR="00AA5E10">
        <w:t xml:space="preserve">APVMA </w:t>
      </w:r>
      <w:r w:rsidR="00E9069F">
        <w:t>Research Permits</w:t>
      </w:r>
      <w:r w:rsidR="003E319D">
        <w:t xml:space="preserve"> </w:t>
      </w:r>
      <w:r w:rsidR="00681E60">
        <w:t>for off label use</w:t>
      </w:r>
      <w:bookmarkEnd w:id="628"/>
      <w:bookmarkEnd w:id="629"/>
    </w:p>
    <w:p w14:paraId="61821CEA" w14:textId="44D24DE6" w:rsidR="003E319D" w:rsidRPr="00251A8A" w:rsidRDefault="00E9069F" w:rsidP="00251A8A">
      <w:r>
        <w:t>U</w:t>
      </w:r>
      <w:r w:rsidR="00251A8A">
        <w:t xml:space="preserve">se </w:t>
      </w:r>
      <w:r>
        <w:t xml:space="preserve">of an agricultural or veterinary chemical other than as directed by the label </w:t>
      </w:r>
      <w:r w:rsidR="00251A8A">
        <w:t xml:space="preserve">is termed ‘off label’ </w:t>
      </w:r>
      <w:r>
        <w:t xml:space="preserve">use </w:t>
      </w:r>
      <w:r w:rsidR="00251A8A">
        <w:t>and requires an APVMA research permit.</w:t>
      </w:r>
      <w:r w:rsidR="00AA5E10">
        <w:t xml:space="preserve"> A Public </w:t>
      </w:r>
      <w:r w:rsidR="00906378">
        <w:t>C</w:t>
      </w:r>
      <w:r w:rsidR="00AA5E10">
        <w:t>hemical Registration Information System Search (</w:t>
      </w:r>
      <w:proofErr w:type="spellStart"/>
      <w:r w:rsidR="00016FF1">
        <w:t>PubCRIS</w:t>
      </w:r>
      <w:proofErr w:type="spellEnd"/>
      <w:r w:rsidR="00016FF1">
        <w:t xml:space="preserve">) is maintained on the </w:t>
      </w:r>
      <w:hyperlink r:id="rId62" w:history="1">
        <w:r w:rsidR="00016FF1" w:rsidRPr="00C95AD5">
          <w:rPr>
            <w:rStyle w:val="Hyperlink"/>
          </w:rPr>
          <w:t>APVMA website</w:t>
        </w:r>
      </w:hyperlink>
      <w:r w:rsidR="00016FF1">
        <w:t>.</w:t>
      </w:r>
      <w:r w:rsidR="000A2BBD">
        <w:t xml:space="preserve"> Contact </w:t>
      </w:r>
      <w:r w:rsidR="001B47DA">
        <w:t>Health and Safety</w:t>
      </w:r>
      <w:r w:rsidR="000A2BBD">
        <w:t xml:space="preserve"> if you require a permit.</w:t>
      </w:r>
    </w:p>
    <w:p w14:paraId="61821CEB" w14:textId="53033E54" w:rsidR="003E319D" w:rsidRDefault="00D737C4" w:rsidP="005E44A4">
      <w:pPr>
        <w:pStyle w:val="Heading2"/>
      </w:pPr>
      <w:bookmarkStart w:id="630" w:name="_Toc19005609"/>
      <w:bookmarkStart w:id="631" w:name="_Toc101439048"/>
      <w:r>
        <w:t>2</w:t>
      </w:r>
      <w:r w:rsidR="00AF6B8C">
        <w:t>4</w:t>
      </w:r>
      <w:r w:rsidR="00E9069F">
        <w:t xml:space="preserve">.4   </w:t>
      </w:r>
      <w:r w:rsidR="00AA5E10">
        <w:t>Usage Restrictions</w:t>
      </w:r>
      <w:r w:rsidR="000A2BBD">
        <w:t xml:space="preserve"> for Agricultural or Veterinary </w:t>
      </w:r>
      <w:r w:rsidR="00CA64E5">
        <w:t>purposes.</w:t>
      </w:r>
      <w:bookmarkEnd w:id="630"/>
      <w:bookmarkEnd w:id="631"/>
      <w:r w:rsidR="00CA64E5">
        <w:t xml:space="preserve"> </w:t>
      </w:r>
    </w:p>
    <w:p w14:paraId="61821CEC" w14:textId="77777777" w:rsidR="00AA5E10" w:rsidRPr="00AA5E10" w:rsidRDefault="00E9069F" w:rsidP="00AA5E10">
      <w:pPr>
        <w:rPr>
          <w:lang w:eastAsia="en-US"/>
        </w:rPr>
      </w:pPr>
      <w:r>
        <w:rPr>
          <w:lang w:eastAsia="en-US"/>
        </w:rPr>
        <w:t xml:space="preserve">There are </w:t>
      </w:r>
      <w:r w:rsidR="00016FF1">
        <w:rPr>
          <w:lang w:eastAsia="en-US"/>
        </w:rPr>
        <w:t>controls</w:t>
      </w:r>
      <w:r>
        <w:rPr>
          <w:lang w:eastAsia="en-US"/>
        </w:rPr>
        <w:t xml:space="preserve"> on the use of agricultural &amp; veterinary chemicals </w:t>
      </w:r>
      <w:r w:rsidR="00016FF1">
        <w:rPr>
          <w:lang w:eastAsia="en-US"/>
        </w:rPr>
        <w:t xml:space="preserve">for </w:t>
      </w:r>
      <w:r w:rsidR="00CA64E5">
        <w:rPr>
          <w:lang w:eastAsia="en-US"/>
        </w:rPr>
        <w:t>Agricultural</w:t>
      </w:r>
      <w:r w:rsidR="00016FF1">
        <w:rPr>
          <w:lang w:eastAsia="en-US"/>
        </w:rPr>
        <w:t xml:space="preserve"> and </w:t>
      </w:r>
      <w:r w:rsidR="00CA64E5">
        <w:rPr>
          <w:lang w:eastAsia="en-US"/>
        </w:rPr>
        <w:t>V</w:t>
      </w:r>
      <w:r w:rsidR="00016FF1">
        <w:rPr>
          <w:lang w:eastAsia="en-US"/>
        </w:rPr>
        <w:t>eterinary practices to protect people, animals, crops, and the environment.</w:t>
      </w:r>
      <w:r w:rsidR="000A2BBD">
        <w:rPr>
          <w:lang w:eastAsia="en-US"/>
        </w:rPr>
        <w:t xml:space="preserve"> They cover aspects such as spray drift, overuse and maximum residue levels and withholding periods</w:t>
      </w:r>
      <w:r w:rsidR="00CA64E5">
        <w:rPr>
          <w:lang w:eastAsia="en-US"/>
        </w:rPr>
        <w:t xml:space="preserve"> for agricultural produce</w:t>
      </w:r>
      <w:r w:rsidR="000A2BBD">
        <w:rPr>
          <w:lang w:eastAsia="en-US"/>
        </w:rPr>
        <w:t xml:space="preserve">. </w:t>
      </w:r>
      <w:r w:rsidR="00CA64E5">
        <w:rPr>
          <w:lang w:eastAsia="en-US"/>
        </w:rPr>
        <w:t xml:space="preserve">If an agricultural &amp; veterinary chemical is required for research into agricultural or veterinary practices or produce, additional licensing or permit requirements may apply. </w:t>
      </w:r>
    </w:p>
    <w:p w14:paraId="61821CED" w14:textId="77777777" w:rsidR="003E319D" w:rsidRDefault="00E9069F" w:rsidP="00E27BFA">
      <w:r>
        <w:t xml:space="preserve">Permits to use agricultural chemicals including herbicides, fungicides, baits and poisons, and insecticides are regulated by the Department of Agriculture and Food https://www.agric.wa.gov.au/ and the Department of Health WA www.health.wa.gov.au/ in conjunction with APVMA. </w:t>
      </w:r>
    </w:p>
    <w:p w14:paraId="61821CEE" w14:textId="0B425E37" w:rsidR="003E319D" w:rsidRDefault="00E9069F" w:rsidP="003A782C">
      <w:pPr>
        <w:pStyle w:val="Heading3"/>
        <w:ind w:left="851" w:hanging="851"/>
      </w:pPr>
      <w:bookmarkStart w:id="632" w:name="_Toc19005610"/>
      <w:r>
        <w:t>2</w:t>
      </w:r>
      <w:r w:rsidR="00AF6B8C">
        <w:t>4</w:t>
      </w:r>
      <w:r>
        <w:t>.4.1</w:t>
      </w:r>
      <w:r w:rsidR="00C620A0">
        <w:t xml:space="preserve">   </w:t>
      </w:r>
      <w:r>
        <w:t>Veterinary Drugs and Poisons Permits</w:t>
      </w:r>
      <w:bookmarkEnd w:id="632"/>
      <w:r>
        <w:t xml:space="preserve"> </w:t>
      </w:r>
    </w:p>
    <w:p w14:paraId="61821CEF" w14:textId="77777777" w:rsidR="003E319D" w:rsidRDefault="00E9069F" w:rsidP="00E27BFA">
      <w:r>
        <w:t xml:space="preserve">Veterinary practitioners are authorised to obtain, possess, use or supply most drugs and poisons for the lawful practice of their profession, </w:t>
      </w:r>
      <w:proofErr w:type="gramStart"/>
      <w:r>
        <w:t>i.e.</w:t>
      </w:r>
      <w:proofErr w:type="gramEnd"/>
      <w:r>
        <w:t xml:space="preserve"> for the veterinary treatment of animals under their care. You will need to provide proof that you are a registered veterinarian and that you hold the required poisons permits to purchase many veterinarian pharmaceuticals. </w:t>
      </w:r>
    </w:p>
    <w:p w14:paraId="61821CF0" w14:textId="0C2528FE" w:rsidR="003E319D" w:rsidRDefault="00D737C4" w:rsidP="005E44A4">
      <w:pPr>
        <w:pStyle w:val="Heading2"/>
      </w:pPr>
      <w:bookmarkStart w:id="633" w:name="_Toc19005611"/>
      <w:bookmarkStart w:id="634" w:name="_Toc101439049"/>
      <w:r>
        <w:lastRenderedPageBreak/>
        <w:t>2</w:t>
      </w:r>
      <w:r w:rsidR="00AF6B8C">
        <w:t>4</w:t>
      </w:r>
      <w:r w:rsidR="00E9069F">
        <w:t>.5   Labelling</w:t>
      </w:r>
      <w:bookmarkEnd w:id="633"/>
      <w:bookmarkEnd w:id="634"/>
      <w:r w:rsidR="00E9069F">
        <w:t xml:space="preserve"> </w:t>
      </w:r>
    </w:p>
    <w:p w14:paraId="61821CF1" w14:textId="77777777" w:rsidR="00F51159" w:rsidRPr="001643AC" w:rsidRDefault="00E9069F" w:rsidP="00F51159">
      <w:pPr>
        <w:rPr>
          <w:rFonts w:eastAsiaTheme="minorEastAsia"/>
          <w:lang w:eastAsia="en-US"/>
        </w:rPr>
      </w:pPr>
      <w:r>
        <w:rPr>
          <w:rFonts w:eastAsiaTheme="minorEastAsia"/>
          <w:lang w:eastAsia="en-US"/>
        </w:rPr>
        <w:t>Manufacture</w:t>
      </w:r>
      <w:r w:rsidR="001B47DA">
        <w:rPr>
          <w:rFonts w:eastAsiaTheme="minorEastAsia"/>
          <w:lang w:eastAsia="en-US"/>
        </w:rPr>
        <w:t>r</w:t>
      </w:r>
      <w:r>
        <w:rPr>
          <w:rFonts w:eastAsiaTheme="minorEastAsia"/>
          <w:lang w:eastAsia="en-US"/>
        </w:rPr>
        <w:t xml:space="preserve">s must ensure that </w:t>
      </w:r>
      <w:r w:rsidRPr="001643AC">
        <w:rPr>
          <w:rFonts w:eastAsiaTheme="minorEastAsia"/>
          <w:lang w:eastAsia="en-US"/>
        </w:rPr>
        <w:t>Agricultur</w:t>
      </w:r>
      <w:r>
        <w:rPr>
          <w:rFonts w:eastAsiaTheme="minorEastAsia"/>
          <w:lang w:eastAsia="en-US"/>
        </w:rPr>
        <w:t>al and veterinary chemicals</w:t>
      </w:r>
      <w:r w:rsidRPr="001643AC">
        <w:rPr>
          <w:rFonts w:eastAsiaTheme="minorEastAsia"/>
          <w:lang w:eastAsia="en-US"/>
        </w:rPr>
        <w:t xml:space="preserve"> have a label in English that complies with the requirements of the Australian Pesticides and Veterinary Medicines Authority </w:t>
      </w:r>
      <w:proofErr w:type="gramStart"/>
      <w:r w:rsidRPr="001643AC">
        <w:rPr>
          <w:rFonts w:eastAsiaTheme="minorEastAsia"/>
          <w:lang w:eastAsia="en-US"/>
        </w:rPr>
        <w:t>and also</w:t>
      </w:r>
      <w:proofErr w:type="gramEnd"/>
      <w:r w:rsidRPr="001643AC">
        <w:rPr>
          <w:rFonts w:eastAsiaTheme="minorEastAsia"/>
          <w:lang w:eastAsia="en-US"/>
        </w:rPr>
        <w:t xml:space="preserve"> includes the following:</w:t>
      </w:r>
    </w:p>
    <w:p w14:paraId="61821CF2" w14:textId="77777777" w:rsidR="00F51159" w:rsidRPr="001643AC" w:rsidRDefault="00E9069F" w:rsidP="00F51159">
      <w:pPr>
        <w:tabs>
          <w:tab w:val="num" w:pos="567"/>
        </w:tabs>
        <w:spacing w:before="120"/>
        <w:ind w:left="567" w:hanging="283"/>
        <w:rPr>
          <w:rFonts w:eastAsiaTheme="minorEastAsia"/>
          <w:lang w:eastAsia="en-US"/>
        </w:rPr>
      </w:pPr>
      <w:r w:rsidRPr="001643AC">
        <w:rPr>
          <w:rFonts w:eastAsiaTheme="minorEastAsia"/>
          <w:lang w:eastAsia="en-US"/>
        </w:rPr>
        <w:t>any hazard statement that is consistent with the correct classification of the chemical, and</w:t>
      </w:r>
    </w:p>
    <w:p w14:paraId="61821CF3" w14:textId="77777777" w:rsidR="00F51159" w:rsidRPr="001643AC" w:rsidRDefault="00E9069F" w:rsidP="00F51159">
      <w:pPr>
        <w:tabs>
          <w:tab w:val="num" w:pos="567"/>
        </w:tabs>
        <w:spacing w:before="120"/>
        <w:ind w:left="567" w:hanging="283"/>
        <w:rPr>
          <w:rFonts w:eastAsiaTheme="minorEastAsia"/>
          <w:lang w:eastAsia="en-US"/>
        </w:rPr>
      </w:pPr>
      <w:r w:rsidRPr="001643AC">
        <w:rPr>
          <w:rFonts w:eastAsiaTheme="minorEastAsia"/>
          <w:lang w:eastAsia="en-US"/>
        </w:rPr>
        <w:t>any precautionary statement that is consistent with the correct classification of the chemical.</w:t>
      </w:r>
    </w:p>
    <w:p w14:paraId="61821CF4" w14:textId="5F0C4502" w:rsidR="003E319D" w:rsidRDefault="00D737C4" w:rsidP="005E44A4">
      <w:pPr>
        <w:pStyle w:val="Heading2"/>
      </w:pPr>
      <w:bookmarkStart w:id="635" w:name="_Toc19005612"/>
      <w:bookmarkStart w:id="636" w:name="_Toc101439050"/>
      <w:r>
        <w:t>2</w:t>
      </w:r>
      <w:r w:rsidR="00AF6B8C">
        <w:t>4</w:t>
      </w:r>
      <w:r w:rsidR="00E9069F">
        <w:t xml:space="preserve">.6   </w:t>
      </w:r>
      <w:r w:rsidR="00CE7039">
        <w:t>H</w:t>
      </w:r>
      <w:r w:rsidR="00E9069F">
        <w:t>ealth Surveillance</w:t>
      </w:r>
      <w:bookmarkEnd w:id="635"/>
      <w:bookmarkEnd w:id="636"/>
      <w:r w:rsidR="00E9069F">
        <w:t xml:space="preserve"> </w:t>
      </w:r>
    </w:p>
    <w:p w14:paraId="61821CF5" w14:textId="77777777" w:rsidR="00706815" w:rsidRDefault="00E9069F" w:rsidP="00706815">
      <w:r>
        <w:t xml:space="preserve">The use of certain agricultural chemicals may require health surveillance. This is particularly relevant to pesticides that contain organophosphates and or benzenes. Health Surveillance will be managed in accordance with the </w:t>
      </w:r>
      <w:hyperlink r:id="rId63" w:history="1">
        <w:r w:rsidRPr="00CB2E9E">
          <w:rPr>
            <w:rStyle w:val="Hyperlink"/>
          </w:rPr>
          <w:t>Health Surveillance Guideline</w:t>
        </w:r>
      </w:hyperlink>
      <w:r>
        <w:t>.</w:t>
      </w:r>
    </w:p>
    <w:p w14:paraId="61821CF7" w14:textId="66FB5967" w:rsidR="003E319D" w:rsidRDefault="00E9069F" w:rsidP="005E44A4">
      <w:pPr>
        <w:pStyle w:val="Heading2"/>
      </w:pPr>
      <w:bookmarkStart w:id="637" w:name="_Toc19005613"/>
      <w:bookmarkStart w:id="638" w:name="_Toc101439051"/>
      <w:r>
        <w:t>2</w:t>
      </w:r>
      <w:r w:rsidR="00AF6B8C">
        <w:t>4</w:t>
      </w:r>
      <w:r>
        <w:t>.7   Legislation</w:t>
      </w:r>
      <w:bookmarkEnd w:id="637"/>
      <w:bookmarkEnd w:id="638"/>
      <w:r>
        <w:t xml:space="preserve"> </w:t>
      </w:r>
    </w:p>
    <w:p w14:paraId="61821CF8" w14:textId="08FDC1E8" w:rsidR="003E319D" w:rsidRDefault="00D737C4" w:rsidP="00C620A0">
      <w:pPr>
        <w:pStyle w:val="Heading3"/>
        <w:tabs>
          <w:tab w:val="left" w:pos="567"/>
        </w:tabs>
      </w:pPr>
      <w:bookmarkStart w:id="639" w:name="_Toc19005614"/>
      <w:r>
        <w:t>2</w:t>
      </w:r>
      <w:r w:rsidR="00AF6B8C">
        <w:t>4</w:t>
      </w:r>
      <w:r w:rsidR="00E9069F">
        <w:t>.7.1</w:t>
      </w:r>
      <w:r w:rsidR="00C620A0">
        <w:t xml:space="preserve">   </w:t>
      </w:r>
      <w:r w:rsidR="00E9069F">
        <w:t>Acts and Regulations</w:t>
      </w:r>
      <w:bookmarkEnd w:id="639"/>
      <w:r w:rsidR="00E9069F">
        <w:t xml:space="preserve"> </w:t>
      </w:r>
    </w:p>
    <w:p w14:paraId="61821CF9" w14:textId="77777777" w:rsidR="003E319D" w:rsidRDefault="00E9069F" w:rsidP="002D2118">
      <w:pPr>
        <w:pStyle w:val="Bullet1"/>
      </w:pPr>
      <w:r>
        <w:t>Agricultural and Veterinary Chemicals Code Act 1994 (</w:t>
      </w:r>
      <w:proofErr w:type="spellStart"/>
      <w:r>
        <w:t>Cth</w:t>
      </w:r>
      <w:proofErr w:type="spellEnd"/>
      <w:r>
        <w:t xml:space="preserve">) </w:t>
      </w:r>
    </w:p>
    <w:p w14:paraId="61821CFA" w14:textId="77777777" w:rsidR="003E319D" w:rsidRDefault="00E9069F" w:rsidP="002D2118">
      <w:pPr>
        <w:pStyle w:val="Bullet1"/>
      </w:pPr>
      <w:r>
        <w:t>Agricultural and Veterinary Chemicals Code Regulations 1995 (</w:t>
      </w:r>
      <w:proofErr w:type="spellStart"/>
      <w:r>
        <w:t>Cth</w:t>
      </w:r>
      <w:proofErr w:type="spellEnd"/>
      <w:r>
        <w:t xml:space="preserve">) </w:t>
      </w:r>
    </w:p>
    <w:p w14:paraId="61821CFB" w14:textId="77777777" w:rsidR="003E319D" w:rsidRDefault="00E9069F" w:rsidP="002D2118">
      <w:pPr>
        <w:pStyle w:val="Bullet1"/>
      </w:pPr>
      <w:r>
        <w:t xml:space="preserve">Agricultural and Veterinary Chemicals Act 1995 (WA) </w:t>
      </w:r>
    </w:p>
    <w:p w14:paraId="61821CFC" w14:textId="77777777" w:rsidR="003E319D" w:rsidRDefault="00E9069F" w:rsidP="009720D8">
      <w:pPr>
        <w:pStyle w:val="Bullet1"/>
      </w:pPr>
      <w:r>
        <w:t xml:space="preserve">Agricultural and Veterinary Chemicals Regulations 1995 (WA) </w:t>
      </w:r>
    </w:p>
    <w:p w14:paraId="61821CFD" w14:textId="308611BD" w:rsidR="003E319D" w:rsidRDefault="00E9069F">
      <w:pPr>
        <w:pStyle w:val="Bullet1"/>
      </w:pPr>
      <w:r>
        <w:t xml:space="preserve">Medicines and Poisons Act 2014 (WA) </w:t>
      </w:r>
    </w:p>
    <w:p w14:paraId="61821CFE" w14:textId="22634B31" w:rsidR="003E319D" w:rsidRDefault="00E9069F">
      <w:pPr>
        <w:pStyle w:val="Bullet1"/>
      </w:pPr>
      <w:r>
        <w:t>Medicines and Poisons Regulations 2016 (WA)</w:t>
      </w:r>
    </w:p>
    <w:p w14:paraId="61821CFF" w14:textId="2EE05142" w:rsidR="003E319D" w:rsidRDefault="00E9069F" w:rsidP="003A782C">
      <w:pPr>
        <w:pStyle w:val="Heading3"/>
        <w:ind w:left="851" w:hanging="851"/>
      </w:pPr>
      <w:bookmarkStart w:id="640" w:name="_Toc19005615"/>
      <w:r>
        <w:t>2</w:t>
      </w:r>
      <w:r w:rsidR="00AF6B8C">
        <w:t>4</w:t>
      </w:r>
      <w:r>
        <w:t>.7.2   Supporting Standards, Codes and Guidance Materials</w:t>
      </w:r>
      <w:bookmarkEnd w:id="640"/>
      <w:r>
        <w:t xml:space="preserve"> </w:t>
      </w:r>
    </w:p>
    <w:p w14:paraId="61821D00" w14:textId="77777777" w:rsidR="003E319D" w:rsidRDefault="00E9069F" w:rsidP="002D2118">
      <w:pPr>
        <w:pStyle w:val="Bullet1"/>
      </w:pPr>
      <w:r>
        <w:t xml:space="preserve">AS 2507: The storage and handling of agricultural and veterinary chemicals </w:t>
      </w:r>
    </w:p>
    <w:p w14:paraId="61821D01" w14:textId="77777777" w:rsidR="003E319D" w:rsidRDefault="00E9069F" w:rsidP="00391E62">
      <w:pPr>
        <w:pStyle w:val="Bullet1"/>
      </w:pPr>
      <w:r>
        <w:t xml:space="preserve">Code of Practices for the use of Agricultural and Veterinary Chemicals in Western Australia </w:t>
      </w:r>
    </w:p>
    <w:p w14:paraId="61821D02" w14:textId="09D72D07" w:rsidR="006B57E8" w:rsidRPr="00393851" w:rsidRDefault="00E9069F" w:rsidP="006B57E8">
      <w:pPr>
        <w:pStyle w:val="Heading1"/>
        <w:numPr>
          <w:ilvl w:val="0"/>
          <w:numId w:val="0"/>
        </w:numPr>
        <w:tabs>
          <w:tab w:val="clear" w:pos="851"/>
          <w:tab w:val="left" w:pos="426"/>
        </w:tabs>
      </w:pPr>
      <w:bookmarkStart w:id="641" w:name="_Toc18675128"/>
      <w:bookmarkStart w:id="642" w:name="_Toc18675319"/>
      <w:bookmarkStart w:id="643" w:name="_Toc18675828"/>
      <w:bookmarkStart w:id="644" w:name="_Toc18678587"/>
      <w:bookmarkStart w:id="645" w:name="_Toc18678778"/>
      <w:bookmarkStart w:id="646" w:name="_Toc18678991"/>
      <w:bookmarkStart w:id="647" w:name="_Toc18679182"/>
      <w:bookmarkStart w:id="648" w:name="_Toc18679354"/>
      <w:bookmarkStart w:id="649" w:name="_Toc18679547"/>
      <w:bookmarkStart w:id="650" w:name="_Toc18679739"/>
      <w:bookmarkStart w:id="651" w:name="_Toc18679930"/>
      <w:bookmarkStart w:id="652" w:name="_Toc18680121"/>
      <w:bookmarkStart w:id="653" w:name="_Toc18680311"/>
      <w:bookmarkStart w:id="654" w:name="_Toc19004606"/>
      <w:bookmarkStart w:id="655" w:name="_Toc19004802"/>
      <w:bookmarkStart w:id="656" w:name="_Toc19005616"/>
      <w:bookmarkStart w:id="657" w:name="_Toc101439052"/>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393851">
        <w:t>2</w:t>
      </w:r>
      <w:r w:rsidR="00AF6B8C">
        <w:t>5</w:t>
      </w:r>
      <w:r w:rsidRPr="00393851">
        <w:t>.</w:t>
      </w:r>
      <w:r w:rsidRPr="00393851">
        <w:tab/>
      </w:r>
      <w:bookmarkEnd w:id="656"/>
      <w:r w:rsidR="00393851" w:rsidRPr="00AE79D5">
        <w:t>Illicit Drug Precursors</w:t>
      </w:r>
      <w:bookmarkEnd w:id="657"/>
    </w:p>
    <w:p w14:paraId="61821D05" w14:textId="631B4C04" w:rsidR="00CC5A17" w:rsidRDefault="00E9069F" w:rsidP="005E44A4">
      <w:pPr>
        <w:pStyle w:val="Heading2"/>
      </w:pPr>
      <w:bookmarkStart w:id="658" w:name="_Toc19005617"/>
      <w:bookmarkStart w:id="659" w:name="_Toc101439053"/>
      <w:r>
        <w:t>2</w:t>
      </w:r>
      <w:r w:rsidR="00AF6B8C">
        <w:t>5</w:t>
      </w:r>
      <w:r>
        <w:t>.1   Introduction</w:t>
      </w:r>
      <w:bookmarkEnd w:id="658"/>
      <w:bookmarkEnd w:id="659"/>
    </w:p>
    <w:p w14:paraId="61821D06" w14:textId="77777777" w:rsidR="00CC5A17" w:rsidRPr="00CC5A17" w:rsidRDefault="00E9069F" w:rsidP="00CC5A17">
      <w:r w:rsidRPr="00CC5A17">
        <w:t xml:space="preserve">In addition to the general chemical management requirements, there are additional legislative requirements for precursor chemicals and ancillary equipment known to have been used for the manufacture of illicit drugs under the Misuse of Drugs Act 1981 &amp; Regulations 1982. </w:t>
      </w:r>
    </w:p>
    <w:p w14:paraId="61821D07" w14:textId="77777777" w:rsidR="00CC5A17" w:rsidRDefault="00E9069F" w:rsidP="00CC5A17">
      <w:pPr>
        <w:autoSpaceDE w:val="0"/>
        <w:autoSpaceDN w:val="0"/>
        <w:adjustRightInd w:val="0"/>
        <w:rPr>
          <w:rFonts w:cs="TT2D14o00"/>
        </w:rPr>
      </w:pPr>
      <w:r w:rsidRPr="00CC5A17">
        <w:rPr>
          <w:rFonts w:cs="TT2D14o00"/>
        </w:rPr>
        <w:t xml:space="preserve">Two categories of precursor substances and ancillary materials known to have been used in the manufacture of drugs are listed in the </w:t>
      </w:r>
      <w:r w:rsidRPr="00CC5A17">
        <w:t xml:space="preserve">Misuse of Drugs Act 1981 &amp; Regulations 1982. </w:t>
      </w:r>
      <w:r w:rsidRPr="00CC5A17">
        <w:rPr>
          <w:rFonts w:cs="TT2D14o00"/>
        </w:rPr>
        <w:t xml:space="preserve"> Stricter controls applied to Category 1 Items.</w:t>
      </w:r>
      <w:r>
        <w:rPr>
          <w:rFonts w:cs="TT2D14o00"/>
        </w:rPr>
        <w:t xml:space="preserve"> Research &amp; Education Institutions are exempt from some possession and supply </w:t>
      </w:r>
      <w:proofErr w:type="gramStart"/>
      <w:r>
        <w:rPr>
          <w:rFonts w:cs="TT2D14o00"/>
        </w:rPr>
        <w:t>restrictions,</w:t>
      </w:r>
      <w:proofErr w:type="gramEnd"/>
      <w:r>
        <w:rPr>
          <w:rFonts w:cs="TT2D14o00"/>
        </w:rPr>
        <w:t xml:space="preserve"> however purchase controls still apply.</w:t>
      </w:r>
    </w:p>
    <w:p w14:paraId="61821D08" w14:textId="541CDFCF" w:rsidR="00CC5A17" w:rsidRPr="00F8039E" w:rsidRDefault="00D737C4" w:rsidP="005E44A4">
      <w:pPr>
        <w:pStyle w:val="Heading2"/>
      </w:pPr>
      <w:bookmarkStart w:id="660" w:name="_Toc19005618"/>
      <w:bookmarkStart w:id="661" w:name="_Toc101439054"/>
      <w:r>
        <w:t>2</w:t>
      </w:r>
      <w:r w:rsidR="00071384">
        <w:t>5</w:t>
      </w:r>
      <w:r w:rsidR="00E9069F">
        <w:t xml:space="preserve">.2   </w:t>
      </w:r>
      <w:r w:rsidR="00E9069F" w:rsidRPr="00F8039E">
        <w:t>Category 1 Items</w:t>
      </w:r>
      <w:r w:rsidR="00E9069F">
        <w:t xml:space="preserve"> and purchase controls</w:t>
      </w:r>
      <w:bookmarkEnd w:id="660"/>
      <w:bookmarkEnd w:id="661"/>
    </w:p>
    <w:p w14:paraId="61821D09" w14:textId="77777777" w:rsidR="00CC5A17" w:rsidRDefault="00E9069F" w:rsidP="00CC5A17">
      <w:r w:rsidRPr="00F8039E">
        <w:t>Category 1 items (substances and things) are listed in Schedule 3 of the Misuse</w:t>
      </w:r>
      <w:r>
        <w:t xml:space="preserve"> of Drugs Act Regulations 1982. Purchasers of Category 1 items will be required to hold an account with the supplier, provide a written order for the item, fill out an end user declaration and provide sufficient evidence of identity on order and receipt of the item. Suppliers will not supply a Category</w:t>
      </w:r>
      <w:r w:rsidR="003A1352">
        <w:t xml:space="preserve"> 1</w:t>
      </w:r>
      <w:r>
        <w:t xml:space="preserve"> item with 24 hours of ordering, during which time the supplier must provide a copy of the end user declaration to the Commissioner of Police.</w:t>
      </w:r>
    </w:p>
    <w:p w14:paraId="61821D0A" w14:textId="05067CAE" w:rsidR="00CC5A17" w:rsidRPr="00CC5A17" w:rsidRDefault="00E9069F" w:rsidP="00CC5A17">
      <w:pPr>
        <w:spacing w:after="160" w:line="259" w:lineRule="auto"/>
        <w:jc w:val="left"/>
        <w:rPr>
          <w:rFonts w:cs="Arial"/>
          <w:b/>
        </w:rPr>
      </w:pPr>
      <w:bookmarkStart w:id="662" w:name="_Toc421523604"/>
      <w:bookmarkStart w:id="663" w:name="_Toc421523653"/>
      <w:bookmarkStart w:id="664" w:name="_Toc18574534"/>
      <w:bookmarkStart w:id="665" w:name="_Toc99619996"/>
      <w:r>
        <w:rPr>
          <w:rFonts w:cs="Arial"/>
          <w:b/>
        </w:rPr>
        <w:lastRenderedPageBreak/>
        <w:t xml:space="preserve">Table </w:t>
      </w:r>
      <w:r w:rsidR="00E3271A" w:rsidRPr="00055286">
        <w:rPr>
          <w:rFonts w:eastAsia="Calibri" w:cs="Arial"/>
          <w:b/>
          <w:bCs/>
          <w:sz w:val="18"/>
          <w:szCs w:val="18"/>
          <w:lang w:val="en-US" w:eastAsia="en-US"/>
        </w:rPr>
        <w:fldChar w:fldCharType="begin"/>
      </w:r>
      <w:r w:rsidR="00E3271A" w:rsidRPr="003A782C">
        <w:rPr>
          <w:rFonts w:cs="Arial"/>
          <w:b/>
        </w:rPr>
        <w:instrText xml:space="preserve"> SEQ Table \* ARABIC </w:instrText>
      </w:r>
      <w:r w:rsidR="00E3271A" w:rsidRPr="00055286">
        <w:rPr>
          <w:rFonts w:eastAsia="Calibri" w:cs="Arial"/>
          <w:b/>
          <w:bCs/>
          <w:sz w:val="18"/>
          <w:szCs w:val="18"/>
          <w:lang w:val="en-US" w:eastAsia="en-US"/>
        </w:rPr>
        <w:fldChar w:fldCharType="separate"/>
      </w:r>
      <w:r w:rsidR="00BC0589">
        <w:rPr>
          <w:rFonts w:cs="Arial"/>
          <w:b/>
          <w:noProof/>
        </w:rPr>
        <w:t>9</w:t>
      </w:r>
      <w:r w:rsidR="00E3271A" w:rsidRPr="00055286">
        <w:rPr>
          <w:rFonts w:eastAsia="Calibri" w:cs="Arial"/>
          <w:b/>
          <w:bCs/>
          <w:sz w:val="18"/>
          <w:szCs w:val="18"/>
          <w:lang w:val="en-US" w:eastAsia="en-US"/>
        </w:rPr>
        <w:fldChar w:fldCharType="end"/>
      </w:r>
      <w:r w:rsidR="00E3271A">
        <w:rPr>
          <w:rFonts w:cs="Arial"/>
          <w:b/>
        </w:rPr>
        <w:t xml:space="preserve">: </w:t>
      </w:r>
      <w:r w:rsidRPr="00CC5A17">
        <w:rPr>
          <w:rFonts w:cs="Arial"/>
          <w:b/>
        </w:rPr>
        <w:t>Category 1 items</w:t>
      </w:r>
      <w:bookmarkEnd w:id="662"/>
      <w:bookmarkEnd w:id="663"/>
      <w:r>
        <w:rPr>
          <w:rFonts w:cs="Arial"/>
          <w:b/>
        </w:rPr>
        <w:t xml:space="preserve"> </w:t>
      </w:r>
      <w:r w:rsidRPr="00142B86">
        <w:rPr>
          <w:rFonts w:cs="Arial"/>
          <w:b/>
        </w:rPr>
        <w:t xml:space="preserve">under </w:t>
      </w:r>
      <w:r w:rsidR="00142B86" w:rsidRPr="00142B86">
        <w:rPr>
          <w:rFonts w:cs="Arial"/>
          <w:b/>
        </w:rPr>
        <w:t xml:space="preserve">the </w:t>
      </w:r>
      <w:r w:rsidR="00142B86" w:rsidRPr="00142B86">
        <w:rPr>
          <w:b/>
        </w:rPr>
        <w:t>Misuse of Drugs Act Regulations 1982</w:t>
      </w:r>
      <w:r w:rsidR="00142B86">
        <w:rPr>
          <w:b/>
        </w:rPr>
        <w:t>, Schedule 3.</w:t>
      </w:r>
      <w:bookmarkEnd w:id="664"/>
      <w:bookmarkEnd w:id="665"/>
    </w:p>
    <w:p w14:paraId="61821D0B" w14:textId="77777777" w:rsidR="00CC5A17" w:rsidRPr="00CC5A17" w:rsidRDefault="00E9069F" w:rsidP="00CC5A17">
      <w:pPr>
        <w:spacing w:before="0" w:after="160" w:line="259" w:lineRule="auto"/>
        <w:jc w:val="left"/>
        <w:rPr>
          <w:rFonts w:cs="Arial"/>
          <w:b/>
        </w:rPr>
      </w:pPr>
      <w:r w:rsidRPr="00CC5A17">
        <w:rPr>
          <w:rFonts w:cs="Arial"/>
          <w:b/>
        </w:rPr>
        <w:t>Division 1 — Substances</w:t>
      </w:r>
    </w:p>
    <w:tbl>
      <w:tblPr>
        <w:tblW w:w="9356" w:type="dxa"/>
        <w:tblInd w:w="108" w:type="dxa"/>
        <w:tblBorders>
          <w:top w:val="single" w:sz="4" w:space="0" w:color="auto"/>
          <w:bottom w:val="single" w:sz="4" w:space="0" w:color="auto"/>
          <w:insideH w:val="single" w:sz="4" w:space="0" w:color="auto"/>
        </w:tblBorders>
        <w:tblLayout w:type="fixed"/>
        <w:tblCellMar>
          <w:top w:w="57" w:type="dxa"/>
          <w:bottom w:w="57" w:type="dxa"/>
        </w:tblCellMar>
        <w:tblLook w:val="0000" w:firstRow="0" w:lastRow="0" w:firstColumn="0" w:lastColumn="0" w:noHBand="0" w:noVBand="0"/>
      </w:tblPr>
      <w:tblGrid>
        <w:gridCol w:w="3480"/>
        <w:gridCol w:w="2280"/>
        <w:gridCol w:w="3596"/>
      </w:tblGrid>
      <w:tr w:rsidR="0059373B" w14:paraId="61821D0F" w14:textId="77777777" w:rsidTr="003A782C">
        <w:trPr>
          <w:cantSplit/>
          <w:tblHeader/>
        </w:trPr>
        <w:tc>
          <w:tcPr>
            <w:tcW w:w="3480" w:type="dxa"/>
          </w:tcPr>
          <w:p w14:paraId="61821D0C" w14:textId="77777777" w:rsidR="00CC5A17" w:rsidRPr="00CC5A17" w:rsidRDefault="00E9069F" w:rsidP="003A782C">
            <w:pPr>
              <w:spacing w:before="0"/>
              <w:jc w:val="left"/>
              <w:rPr>
                <w:rFonts w:cs="Arial"/>
                <w:b/>
              </w:rPr>
            </w:pPr>
            <w:r w:rsidRPr="00CC5A17">
              <w:rPr>
                <w:rFonts w:cs="Arial"/>
                <w:b/>
              </w:rPr>
              <w:t>Chemical name</w:t>
            </w:r>
          </w:p>
        </w:tc>
        <w:tc>
          <w:tcPr>
            <w:tcW w:w="2280" w:type="dxa"/>
          </w:tcPr>
          <w:p w14:paraId="61821D0D" w14:textId="77777777" w:rsidR="00CC5A17" w:rsidRPr="00CC5A17" w:rsidRDefault="00E9069F" w:rsidP="003A782C">
            <w:pPr>
              <w:spacing w:before="0"/>
              <w:jc w:val="left"/>
              <w:rPr>
                <w:rFonts w:cs="Arial"/>
                <w:b/>
              </w:rPr>
            </w:pPr>
            <w:r w:rsidRPr="00CC5A17">
              <w:rPr>
                <w:rFonts w:cs="Arial"/>
                <w:b/>
              </w:rPr>
              <w:t>Alternate name</w:t>
            </w:r>
          </w:p>
        </w:tc>
        <w:tc>
          <w:tcPr>
            <w:tcW w:w="3596" w:type="dxa"/>
          </w:tcPr>
          <w:p w14:paraId="61821D0E" w14:textId="77777777" w:rsidR="00CC5A17" w:rsidRPr="00CC5A17" w:rsidRDefault="00E9069F" w:rsidP="003A782C">
            <w:pPr>
              <w:spacing w:before="0"/>
              <w:jc w:val="left"/>
              <w:rPr>
                <w:rFonts w:cs="Arial"/>
                <w:b/>
              </w:rPr>
            </w:pPr>
            <w:r w:rsidRPr="00CC5A17">
              <w:rPr>
                <w:rFonts w:cs="Arial"/>
                <w:b/>
              </w:rPr>
              <w:t>Quantity substance in seized sample</w:t>
            </w:r>
          </w:p>
        </w:tc>
      </w:tr>
      <w:tr w:rsidR="0059373B" w14:paraId="61821D13" w14:textId="77777777" w:rsidTr="003A782C">
        <w:trPr>
          <w:cantSplit/>
        </w:trPr>
        <w:tc>
          <w:tcPr>
            <w:tcW w:w="3480" w:type="dxa"/>
          </w:tcPr>
          <w:p w14:paraId="61821D10" w14:textId="77777777" w:rsidR="00CC5A17" w:rsidRPr="00CC5A17" w:rsidRDefault="00E9069F" w:rsidP="003A782C">
            <w:pPr>
              <w:spacing w:before="0"/>
              <w:rPr>
                <w:rFonts w:cs="Arial"/>
              </w:rPr>
            </w:pPr>
            <w:r w:rsidRPr="00CC5A17">
              <w:rPr>
                <w:rFonts w:cs="Arial"/>
              </w:rPr>
              <w:t>Acetic anhydride</w:t>
            </w:r>
          </w:p>
        </w:tc>
        <w:tc>
          <w:tcPr>
            <w:tcW w:w="2280" w:type="dxa"/>
          </w:tcPr>
          <w:p w14:paraId="61821D11" w14:textId="77777777" w:rsidR="00CC5A17" w:rsidRPr="00CC5A17" w:rsidRDefault="00CC5A17" w:rsidP="003A782C">
            <w:pPr>
              <w:spacing w:before="0"/>
              <w:rPr>
                <w:rFonts w:cs="Arial"/>
              </w:rPr>
            </w:pPr>
          </w:p>
        </w:tc>
        <w:tc>
          <w:tcPr>
            <w:tcW w:w="3596" w:type="dxa"/>
          </w:tcPr>
          <w:p w14:paraId="61821D12" w14:textId="77777777" w:rsidR="00CC5A17" w:rsidRPr="00CC5A17" w:rsidRDefault="00E9069F" w:rsidP="003A782C">
            <w:pPr>
              <w:spacing w:before="0"/>
              <w:jc w:val="left"/>
              <w:rPr>
                <w:rFonts w:cs="Arial"/>
              </w:rPr>
            </w:pPr>
            <w:r w:rsidRPr="00CC5A17">
              <w:rPr>
                <w:rFonts w:cs="Arial"/>
              </w:rPr>
              <w:t>50 ml</w:t>
            </w:r>
          </w:p>
        </w:tc>
      </w:tr>
      <w:tr w:rsidR="0059373B" w14:paraId="61821D17" w14:textId="77777777" w:rsidTr="003A782C">
        <w:trPr>
          <w:cantSplit/>
        </w:trPr>
        <w:tc>
          <w:tcPr>
            <w:tcW w:w="3480" w:type="dxa"/>
          </w:tcPr>
          <w:p w14:paraId="61821D14" w14:textId="77777777" w:rsidR="00CC5A17" w:rsidRPr="00CC5A17" w:rsidRDefault="00E9069F" w:rsidP="003A782C">
            <w:pPr>
              <w:spacing w:before="0"/>
              <w:rPr>
                <w:rFonts w:cs="Arial"/>
              </w:rPr>
            </w:pPr>
            <w:r w:rsidRPr="00CC5A17">
              <w:rPr>
                <w:rFonts w:cs="Arial"/>
              </w:rPr>
              <w:t>Acetyl Chloride</w:t>
            </w:r>
          </w:p>
        </w:tc>
        <w:tc>
          <w:tcPr>
            <w:tcW w:w="2280" w:type="dxa"/>
          </w:tcPr>
          <w:p w14:paraId="61821D15" w14:textId="77777777" w:rsidR="00CC5A17" w:rsidRPr="00CC5A17" w:rsidRDefault="00CC5A17" w:rsidP="003A782C">
            <w:pPr>
              <w:spacing w:before="0"/>
              <w:rPr>
                <w:rFonts w:cs="Arial"/>
              </w:rPr>
            </w:pPr>
          </w:p>
        </w:tc>
        <w:tc>
          <w:tcPr>
            <w:tcW w:w="3596" w:type="dxa"/>
          </w:tcPr>
          <w:p w14:paraId="61821D16" w14:textId="77777777" w:rsidR="00CC5A17" w:rsidRPr="00CC5A17" w:rsidRDefault="00E9069F" w:rsidP="003A782C">
            <w:pPr>
              <w:spacing w:before="0"/>
              <w:jc w:val="left"/>
              <w:rPr>
                <w:rFonts w:cs="Arial"/>
              </w:rPr>
            </w:pPr>
            <w:r w:rsidRPr="00CC5A17">
              <w:rPr>
                <w:rFonts w:cs="Arial"/>
              </w:rPr>
              <w:t>50 ml</w:t>
            </w:r>
          </w:p>
        </w:tc>
      </w:tr>
      <w:tr w:rsidR="0059373B" w14:paraId="61821D1B" w14:textId="77777777" w:rsidTr="003A782C">
        <w:trPr>
          <w:cantSplit/>
        </w:trPr>
        <w:tc>
          <w:tcPr>
            <w:tcW w:w="3480" w:type="dxa"/>
          </w:tcPr>
          <w:p w14:paraId="61821D18" w14:textId="77777777" w:rsidR="00CC5A17" w:rsidRPr="00CC5A17" w:rsidRDefault="00E9069F" w:rsidP="003A782C">
            <w:pPr>
              <w:spacing w:before="0"/>
              <w:rPr>
                <w:rFonts w:cs="Arial"/>
              </w:rPr>
            </w:pPr>
            <w:r w:rsidRPr="00CC5A17">
              <w:rPr>
                <w:rFonts w:cs="Arial"/>
              </w:rPr>
              <w:t>4</w:t>
            </w:r>
            <w:r w:rsidRPr="00CC5A17">
              <w:rPr>
                <w:rFonts w:cs="Arial"/>
              </w:rPr>
              <w:noBreakHyphen/>
              <w:t>Amino</w:t>
            </w:r>
            <w:r w:rsidRPr="00CC5A17">
              <w:rPr>
                <w:rFonts w:cs="Arial"/>
              </w:rPr>
              <w:noBreakHyphen/>
              <w:t>Butanoic acid</w:t>
            </w:r>
          </w:p>
        </w:tc>
        <w:tc>
          <w:tcPr>
            <w:tcW w:w="2280" w:type="dxa"/>
          </w:tcPr>
          <w:p w14:paraId="61821D19" w14:textId="77777777" w:rsidR="00CC5A17" w:rsidRPr="00CC5A17" w:rsidRDefault="00E9069F" w:rsidP="003A782C">
            <w:pPr>
              <w:spacing w:before="0"/>
              <w:rPr>
                <w:rFonts w:cs="Arial"/>
              </w:rPr>
            </w:pPr>
            <w:proofErr w:type="spellStart"/>
            <w:r w:rsidRPr="00CC5A17">
              <w:rPr>
                <w:rFonts w:cs="Arial"/>
              </w:rPr>
              <w:t>Piperidinic</w:t>
            </w:r>
            <w:proofErr w:type="spellEnd"/>
            <w:r w:rsidRPr="00CC5A17">
              <w:rPr>
                <w:rFonts w:cs="Arial"/>
              </w:rPr>
              <w:t xml:space="preserve"> acid</w:t>
            </w:r>
          </w:p>
        </w:tc>
        <w:tc>
          <w:tcPr>
            <w:tcW w:w="3596" w:type="dxa"/>
          </w:tcPr>
          <w:p w14:paraId="61821D1A" w14:textId="77777777" w:rsidR="00CC5A17" w:rsidRPr="00CC5A17" w:rsidRDefault="00CC5A17" w:rsidP="003A782C">
            <w:pPr>
              <w:spacing w:before="0"/>
              <w:jc w:val="left"/>
              <w:rPr>
                <w:rFonts w:cs="Arial"/>
              </w:rPr>
            </w:pPr>
          </w:p>
        </w:tc>
      </w:tr>
      <w:tr w:rsidR="0059373B" w14:paraId="61821D1F" w14:textId="77777777" w:rsidTr="003A782C">
        <w:trPr>
          <w:cantSplit/>
        </w:trPr>
        <w:tc>
          <w:tcPr>
            <w:tcW w:w="3480" w:type="dxa"/>
          </w:tcPr>
          <w:p w14:paraId="61821D1C" w14:textId="77777777" w:rsidR="00CC5A17" w:rsidRPr="00CC5A17" w:rsidRDefault="00E9069F" w:rsidP="003A782C">
            <w:pPr>
              <w:spacing w:before="0"/>
              <w:rPr>
                <w:rFonts w:cs="Arial"/>
              </w:rPr>
            </w:pPr>
            <w:r w:rsidRPr="00CC5A17">
              <w:rPr>
                <w:rFonts w:cs="Arial"/>
              </w:rPr>
              <w:t>Bromobenzene</w:t>
            </w:r>
          </w:p>
        </w:tc>
        <w:tc>
          <w:tcPr>
            <w:tcW w:w="2280" w:type="dxa"/>
          </w:tcPr>
          <w:p w14:paraId="61821D1D" w14:textId="77777777" w:rsidR="00CC5A17" w:rsidRPr="00CC5A17" w:rsidRDefault="00E9069F" w:rsidP="003A782C">
            <w:pPr>
              <w:spacing w:before="0"/>
              <w:rPr>
                <w:rFonts w:cs="Arial"/>
              </w:rPr>
            </w:pPr>
            <w:proofErr w:type="spellStart"/>
            <w:r w:rsidRPr="00CC5A17">
              <w:rPr>
                <w:rFonts w:cs="Arial"/>
              </w:rPr>
              <w:t>Phenylbromide</w:t>
            </w:r>
            <w:proofErr w:type="spellEnd"/>
          </w:p>
        </w:tc>
        <w:tc>
          <w:tcPr>
            <w:tcW w:w="3596" w:type="dxa"/>
          </w:tcPr>
          <w:p w14:paraId="61821D1E" w14:textId="77777777" w:rsidR="00CC5A17" w:rsidRPr="00CC5A17" w:rsidRDefault="00CC5A17" w:rsidP="003A782C">
            <w:pPr>
              <w:spacing w:before="0"/>
              <w:jc w:val="left"/>
              <w:rPr>
                <w:rFonts w:cs="Arial"/>
              </w:rPr>
            </w:pPr>
          </w:p>
        </w:tc>
      </w:tr>
      <w:tr w:rsidR="0059373B" w14:paraId="61821D23" w14:textId="77777777" w:rsidTr="003A782C">
        <w:trPr>
          <w:cantSplit/>
        </w:trPr>
        <w:tc>
          <w:tcPr>
            <w:tcW w:w="3480" w:type="dxa"/>
          </w:tcPr>
          <w:p w14:paraId="61821D20" w14:textId="77777777" w:rsidR="00CC5A17" w:rsidRPr="00CC5A17" w:rsidRDefault="00E9069F" w:rsidP="003A782C">
            <w:pPr>
              <w:spacing w:before="0"/>
              <w:rPr>
                <w:rFonts w:cs="Arial"/>
              </w:rPr>
            </w:pPr>
            <w:r w:rsidRPr="00CC5A17">
              <w:rPr>
                <w:rFonts w:cs="Arial"/>
              </w:rPr>
              <w:t>Bromo safrole</w:t>
            </w:r>
          </w:p>
        </w:tc>
        <w:tc>
          <w:tcPr>
            <w:tcW w:w="2280" w:type="dxa"/>
          </w:tcPr>
          <w:p w14:paraId="61821D21" w14:textId="77777777" w:rsidR="00CC5A17" w:rsidRPr="00CC5A17" w:rsidRDefault="00CC5A17" w:rsidP="003A782C">
            <w:pPr>
              <w:spacing w:before="0"/>
              <w:rPr>
                <w:rFonts w:cs="Arial"/>
              </w:rPr>
            </w:pPr>
          </w:p>
        </w:tc>
        <w:tc>
          <w:tcPr>
            <w:tcW w:w="3596" w:type="dxa"/>
          </w:tcPr>
          <w:p w14:paraId="61821D22" w14:textId="77777777" w:rsidR="00CC5A17" w:rsidRPr="00CC5A17" w:rsidRDefault="00CC5A17" w:rsidP="003A782C">
            <w:pPr>
              <w:spacing w:before="0"/>
              <w:jc w:val="left"/>
              <w:rPr>
                <w:rFonts w:cs="Arial"/>
              </w:rPr>
            </w:pPr>
          </w:p>
        </w:tc>
      </w:tr>
      <w:tr w:rsidR="0059373B" w14:paraId="61821D27" w14:textId="77777777" w:rsidTr="003A782C">
        <w:trPr>
          <w:cantSplit/>
        </w:trPr>
        <w:tc>
          <w:tcPr>
            <w:tcW w:w="3480" w:type="dxa"/>
          </w:tcPr>
          <w:p w14:paraId="61821D24" w14:textId="77777777" w:rsidR="00CC5A17" w:rsidRPr="00CC5A17" w:rsidRDefault="00E9069F" w:rsidP="003A782C">
            <w:pPr>
              <w:spacing w:before="0"/>
              <w:rPr>
                <w:rFonts w:cs="Arial"/>
              </w:rPr>
            </w:pPr>
            <w:r w:rsidRPr="00CC5A17">
              <w:rPr>
                <w:rFonts w:cs="Arial"/>
              </w:rPr>
              <w:t>Boron tribromide</w:t>
            </w:r>
          </w:p>
        </w:tc>
        <w:tc>
          <w:tcPr>
            <w:tcW w:w="2280" w:type="dxa"/>
          </w:tcPr>
          <w:p w14:paraId="61821D25" w14:textId="77777777" w:rsidR="00CC5A17" w:rsidRPr="00CC5A17" w:rsidRDefault="00CC5A17" w:rsidP="003A782C">
            <w:pPr>
              <w:spacing w:before="0"/>
              <w:rPr>
                <w:rFonts w:cs="Arial"/>
              </w:rPr>
            </w:pPr>
          </w:p>
        </w:tc>
        <w:tc>
          <w:tcPr>
            <w:tcW w:w="3596" w:type="dxa"/>
          </w:tcPr>
          <w:p w14:paraId="61821D26" w14:textId="77777777" w:rsidR="00CC5A17" w:rsidRPr="00CC5A17" w:rsidRDefault="00CC5A17" w:rsidP="003A782C">
            <w:pPr>
              <w:spacing w:before="0"/>
              <w:jc w:val="left"/>
              <w:rPr>
                <w:rFonts w:cs="Arial"/>
              </w:rPr>
            </w:pPr>
          </w:p>
        </w:tc>
      </w:tr>
      <w:tr w:rsidR="0059373B" w14:paraId="61821D2B" w14:textId="77777777" w:rsidTr="003A782C">
        <w:trPr>
          <w:cantSplit/>
        </w:trPr>
        <w:tc>
          <w:tcPr>
            <w:tcW w:w="3480" w:type="dxa"/>
          </w:tcPr>
          <w:p w14:paraId="61821D28" w14:textId="77777777" w:rsidR="00CC5A17" w:rsidRPr="00CC5A17" w:rsidRDefault="00E9069F" w:rsidP="003A782C">
            <w:pPr>
              <w:spacing w:before="0"/>
              <w:rPr>
                <w:rFonts w:cs="Arial"/>
              </w:rPr>
            </w:pPr>
            <w:r w:rsidRPr="00CC5A17">
              <w:rPr>
                <w:rFonts w:cs="Arial"/>
              </w:rPr>
              <w:t>1, 4</w:t>
            </w:r>
            <w:r w:rsidRPr="00CC5A17">
              <w:rPr>
                <w:rFonts w:cs="Arial"/>
              </w:rPr>
              <w:noBreakHyphen/>
              <w:t>Butanediol</w:t>
            </w:r>
          </w:p>
        </w:tc>
        <w:tc>
          <w:tcPr>
            <w:tcW w:w="2280" w:type="dxa"/>
          </w:tcPr>
          <w:p w14:paraId="61821D29" w14:textId="77777777" w:rsidR="00CC5A17" w:rsidRPr="00CC5A17" w:rsidRDefault="00E9069F" w:rsidP="003A782C">
            <w:pPr>
              <w:spacing w:before="0"/>
              <w:rPr>
                <w:rFonts w:cs="Arial"/>
              </w:rPr>
            </w:pPr>
            <w:r w:rsidRPr="00CC5A17">
              <w:rPr>
                <w:rFonts w:cs="Arial"/>
              </w:rPr>
              <w:t>Tetramethylene Glycol</w:t>
            </w:r>
          </w:p>
        </w:tc>
        <w:tc>
          <w:tcPr>
            <w:tcW w:w="3596" w:type="dxa"/>
          </w:tcPr>
          <w:p w14:paraId="61821D2A" w14:textId="77777777" w:rsidR="00CC5A17" w:rsidRPr="00CC5A17" w:rsidRDefault="00CC5A17" w:rsidP="003A782C">
            <w:pPr>
              <w:spacing w:before="0"/>
              <w:jc w:val="left"/>
              <w:rPr>
                <w:rFonts w:cs="Arial"/>
              </w:rPr>
            </w:pPr>
          </w:p>
        </w:tc>
      </w:tr>
      <w:tr w:rsidR="0059373B" w14:paraId="61821D2F" w14:textId="77777777" w:rsidTr="003A782C">
        <w:trPr>
          <w:cantSplit/>
        </w:trPr>
        <w:tc>
          <w:tcPr>
            <w:tcW w:w="3480" w:type="dxa"/>
          </w:tcPr>
          <w:p w14:paraId="61821D2C" w14:textId="77777777" w:rsidR="00CC5A17" w:rsidRPr="00CC5A17" w:rsidRDefault="00E9069F" w:rsidP="003A782C">
            <w:pPr>
              <w:spacing w:before="0"/>
              <w:rPr>
                <w:rFonts w:cs="Arial"/>
              </w:rPr>
            </w:pPr>
            <w:r w:rsidRPr="00CC5A17">
              <w:rPr>
                <w:rFonts w:cs="Arial"/>
              </w:rPr>
              <w:t>1</w:t>
            </w:r>
            <w:r w:rsidRPr="00CC5A17">
              <w:rPr>
                <w:rFonts w:cs="Arial"/>
              </w:rPr>
              <w:noBreakHyphen/>
              <w:t>Chlorophenyl</w:t>
            </w:r>
            <w:r w:rsidRPr="00CC5A17">
              <w:rPr>
                <w:rFonts w:cs="Arial"/>
              </w:rPr>
              <w:noBreakHyphen/>
              <w:t>2</w:t>
            </w:r>
            <w:r w:rsidRPr="00CC5A17">
              <w:rPr>
                <w:rFonts w:cs="Arial"/>
              </w:rPr>
              <w:noBreakHyphen/>
              <w:t>aminopropane</w:t>
            </w:r>
          </w:p>
        </w:tc>
        <w:tc>
          <w:tcPr>
            <w:tcW w:w="2280" w:type="dxa"/>
          </w:tcPr>
          <w:p w14:paraId="61821D2D" w14:textId="77777777" w:rsidR="00CC5A17" w:rsidRPr="00CC5A17" w:rsidRDefault="00CC5A17" w:rsidP="003A782C">
            <w:pPr>
              <w:spacing w:before="0"/>
              <w:rPr>
                <w:rFonts w:cs="Arial"/>
              </w:rPr>
            </w:pPr>
          </w:p>
        </w:tc>
        <w:tc>
          <w:tcPr>
            <w:tcW w:w="3596" w:type="dxa"/>
          </w:tcPr>
          <w:p w14:paraId="61821D2E" w14:textId="77777777" w:rsidR="00CC5A17" w:rsidRPr="00CC5A17" w:rsidRDefault="00CC5A17" w:rsidP="003A782C">
            <w:pPr>
              <w:spacing w:before="0"/>
              <w:jc w:val="left"/>
              <w:rPr>
                <w:rFonts w:cs="Arial"/>
              </w:rPr>
            </w:pPr>
          </w:p>
        </w:tc>
      </w:tr>
      <w:tr w:rsidR="0059373B" w14:paraId="61821D33" w14:textId="77777777" w:rsidTr="003A782C">
        <w:trPr>
          <w:cantSplit/>
        </w:trPr>
        <w:tc>
          <w:tcPr>
            <w:tcW w:w="3480" w:type="dxa"/>
          </w:tcPr>
          <w:p w14:paraId="61821D30" w14:textId="77777777" w:rsidR="00CC5A17" w:rsidRPr="00CC5A17" w:rsidRDefault="00E9069F" w:rsidP="003A782C">
            <w:pPr>
              <w:spacing w:before="0"/>
              <w:rPr>
                <w:rFonts w:cs="Arial"/>
              </w:rPr>
            </w:pPr>
            <w:r w:rsidRPr="00CC5A17">
              <w:rPr>
                <w:rFonts w:cs="Arial"/>
              </w:rPr>
              <w:t>L</w:t>
            </w:r>
            <w:r w:rsidRPr="00CC5A17">
              <w:rPr>
                <w:rFonts w:cs="Arial"/>
              </w:rPr>
              <w:noBreakHyphen/>
              <w:t>Ephedrine (including salts)</w:t>
            </w:r>
          </w:p>
        </w:tc>
        <w:tc>
          <w:tcPr>
            <w:tcW w:w="2280" w:type="dxa"/>
          </w:tcPr>
          <w:p w14:paraId="61821D31" w14:textId="77777777" w:rsidR="00CC5A17" w:rsidRPr="00CC5A17" w:rsidRDefault="00E9069F" w:rsidP="003A782C">
            <w:pPr>
              <w:spacing w:before="0"/>
              <w:rPr>
                <w:rFonts w:cs="Arial"/>
              </w:rPr>
            </w:pPr>
            <w:r w:rsidRPr="00CC5A17">
              <w:rPr>
                <w:rFonts w:cs="Arial"/>
              </w:rPr>
              <w:t>Ethyl phenyl</w:t>
            </w:r>
          </w:p>
        </w:tc>
        <w:tc>
          <w:tcPr>
            <w:tcW w:w="3596" w:type="dxa"/>
          </w:tcPr>
          <w:p w14:paraId="61821D32" w14:textId="77777777" w:rsidR="00CC5A17" w:rsidRPr="00CC5A17" w:rsidRDefault="00E9069F" w:rsidP="003A782C">
            <w:pPr>
              <w:spacing w:before="0"/>
              <w:jc w:val="left"/>
              <w:rPr>
                <w:rFonts w:cs="Arial"/>
              </w:rPr>
            </w:pPr>
            <w:r w:rsidRPr="00CC5A17">
              <w:rPr>
                <w:rFonts w:cs="Arial"/>
              </w:rPr>
              <w:t>37 g</w:t>
            </w:r>
          </w:p>
        </w:tc>
      </w:tr>
      <w:tr w:rsidR="0059373B" w14:paraId="61821D37" w14:textId="77777777" w:rsidTr="003A782C">
        <w:trPr>
          <w:cantSplit/>
        </w:trPr>
        <w:tc>
          <w:tcPr>
            <w:tcW w:w="3480" w:type="dxa"/>
          </w:tcPr>
          <w:p w14:paraId="61821D34" w14:textId="77777777" w:rsidR="00CC5A17" w:rsidRPr="00CC5A17" w:rsidRDefault="00E9069F" w:rsidP="003A782C">
            <w:pPr>
              <w:spacing w:before="0"/>
              <w:rPr>
                <w:rFonts w:cs="Arial"/>
              </w:rPr>
            </w:pPr>
            <w:r w:rsidRPr="00CC5A17">
              <w:rPr>
                <w:rFonts w:cs="Arial"/>
              </w:rPr>
              <w:t>Ethyl phenyl acetate</w:t>
            </w:r>
          </w:p>
        </w:tc>
        <w:tc>
          <w:tcPr>
            <w:tcW w:w="2280" w:type="dxa"/>
          </w:tcPr>
          <w:p w14:paraId="61821D35" w14:textId="77777777" w:rsidR="00CC5A17" w:rsidRPr="00CC5A17" w:rsidRDefault="00E9069F" w:rsidP="003A782C">
            <w:pPr>
              <w:spacing w:before="0"/>
              <w:jc w:val="left"/>
              <w:rPr>
                <w:rFonts w:cs="Arial"/>
              </w:rPr>
            </w:pPr>
            <w:r w:rsidRPr="00CC5A17">
              <w:rPr>
                <w:rFonts w:cs="Arial"/>
              </w:rPr>
              <w:t>Benzene acetic acid, ethyl ester, methylbenzyl acetate</w:t>
            </w:r>
          </w:p>
        </w:tc>
        <w:tc>
          <w:tcPr>
            <w:tcW w:w="3596" w:type="dxa"/>
          </w:tcPr>
          <w:p w14:paraId="61821D36" w14:textId="77777777" w:rsidR="00CC5A17" w:rsidRPr="00CC5A17" w:rsidRDefault="00CC5A17" w:rsidP="003A782C">
            <w:pPr>
              <w:spacing w:before="0"/>
              <w:jc w:val="left"/>
              <w:rPr>
                <w:rFonts w:cs="Arial"/>
              </w:rPr>
            </w:pPr>
          </w:p>
        </w:tc>
      </w:tr>
      <w:tr w:rsidR="0059373B" w14:paraId="61821D3B" w14:textId="77777777" w:rsidTr="003A782C">
        <w:trPr>
          <w:cantSplit/>
        </w:trPr>
        <w:tc>
          <w:tcPr>
            <w:tcW w:w="3480" w:type="dxa"/>
          </w:tcPr>
          <w:p w14:paraId="61821D38" w14:textId="77777777" w:rsidR="00CC5A17" w:rsidRPr="00CC5A17" w:rsidRDefault="00E9069F" w:rsidP="003A782C">
            <w:pPr>
              <w:spacing w:before="0"/>
              <w:rPr>
                <w:rFonts w:cs="Arial"/>
              </w:rPr>
            </w:pPr>
            <w:r w:rsidRPr="00CC5A17">
              <w:rPr>
                <w:rFonts w:cs="Arial"/>
              </w:rPr>
              <w:t>Gamma butyrolactone</w:t>
            </w:r>
          </w:p>
        </w:tc>
        <w:tc>
          <w:tcPr>
            <w:tcW w:w="2280" w:type="dxa"/>
          </w:tcPr>
          <w:p w14:paraId="61821D39" w14:textId="77777777" w:rsidR="00CC5A17" w:rsidRPr="00CC5A17" w:rsidRDefault="00CC5A17" w:rsidP="003A782C">
            <w:pPr>
              <w:spacing w:before="0"/>
              <w:rPr>
                <w:rFonts w:cs="Arial"/>
              </w:rPr>
            </w:pPr>
          </w:p>
        </w:tc>
        <w:tc>
          <w:tcPr>
            <w:tcW w:w="3596" w:type="dxa"/>
          </w:tcPr>
          <w:p w14:paraId="61821D3A" w14:textId="77777777" w:rsidR="00CC5A17" w:rsidRPr="00CC5A17" w:rsidRDefault="00E9069F" w:rsidP="003A782C">
            <w:pPr>
              <w:spacing w:before="0"/>
              <w:jc w:val="left"/>
              <w:rPr>
                <w:rFonts w:cs="Arial"/>
              </w:rPr>
            </w:pPr>
            <w:r w:rsidRPr="00CC5A17">
              <w:rPr>
                <w:rFonts w:cs="Arial"/>
              </w:rPr>
              <w:t>3.5 ml</w:t>
            </w:r>
          </w:p>
        </w:tc>
      </w:tr>
      <w:tr w:rsidR="0059373B" w14:paraId="61821D3F" w14:textId="77777777" w:rsidTr="003A782C">
        <w:trPr>
          <w:cantSplit/>
        </w:trPr>
        <w:tc>
          <w:tcPr>
            <w:tcW w:w="3480" w:type="dxa"/>
          </w:tcPr>
          <w:p w14:paraId="61821D3C" w14:textId="77777777" w:rsidR="00CC5A17" w:rsidRPr="00CC5A17" w:rsidRDefault="00E9069F" w:rsidP="003A782C">
            <w:pPr>
              <w:spacing w:before="0"/>
              <w:rPr>
                <w:rFonts w:cs="Arial"/>
              </w:rPr>
            </w:pPr>
            <w:r w:rsidRPr="00CC5A17">
              <w:rPr>
                <w:rFonts w:cs="Arial"/>
              </w:rPr>
              <w:t xml:space="preserve">Gamma </w:t>
            </w:r>
            <w:proofErr w:type="spellStart"/>
            <w:r w:rsidRPr="00CC5A17">
              <w:rPr>
                <w:rFonts w:cs="Arial"/>
              </w:rPr>
              <w:t>hydroxybutanoic</w:t>
            </w:r>
            <w:proofErr w:type="spellEnd"/>
            <w:r w:rsidRPr="00CC5A17">
              <w:rPr>
                <w:rFonts w:cs="Arial"/>
              </w:rPr>
              <w:t xml:space="preserve"> acid (including salts)</w:t>
            </w:r>
          </w:p>
        </w:tc>
        <w:tc>
          <w:tcPr>
            <w:tcW w:w="2280" w:type="dxa"/>
          </w:tcPr>
          <w:p w14:paraId="61821D3D" w14:textId="77777777" w:rsidR="00CC5A17" w:rsidRPr="00CC5A17" w:rsidRDefault="00E9069F" w:rsidP="003A782C">
            <w:pPr>
              <w:spacing w:before="0"/>
              <w:rPr>
                <w:rFonts w:cs="Arial"/>
              </w:rPr>
            </w:pPr>
            <w:r w:rsidRPr="00CC5A17">
              <w:rPr>
                <w:rFonts w:cs="Arial"/>
              </w:rPr>
              <w:t>Gamma hydroxybutyric acid</w:t>
            </w:r>
          </w:p>
        </w:tc>
        <w:tc>
          <w:tcPr>
            <w:tcW w:w="3596" w:type="dxa"/>
          </w:tcPr>
          <w:p w14:paraId="61821D3E" w14:textId="77777777" w:rsidR="00CC5A17" w:rsidRPr="00CC5A17" w:rsidRDefault="00CC5A17" w:rsidP="003A782C">
            <w:pPr>
              <w:spacing w:before="0"/>
              <w:jc w:val="left"/>
              <w:rPr>
                <w:rFonts w:cs="Arial"/>
              </w:rPr>
            </w:pPr>
          </w:p>
        </w:tc>
      </w:tr>
      <w:tr w:rsidR="0059373B" w14:paraId="61821D43" w14:textId="77777777" w:rsidTr="003A782C">
        <w:trPr>
          <w:cantSplit/>
        </w:trPr>
        <w:tc>
          <w:tcPr>
            <w:tcW w:w="3480" w:type="dxa"/>
          </w:tcPr>
          <w:p w14:paraId="61821D40" w14:textId="77777777" w:rsidR="00CC5A17" w:rsidRPr="00CC5A17" w:rsidRDefault="00E9069F" w:rsidP="003A782C">
            <w:pPr>
              <w:spacing w:before="0"/>
              <w:rPr>
                <w:rFonts w:cs="Arial"/>
              </w:rPr>
            </w:pPr>
            <w:r w:rsidRPr="00CC5A17">
              <w:rPr>
                <w:rFonts w:cs="Arial"/>
              </w:rPr>
              <w:t>Hydroiodic acid</w:t>
            </w:r>
          </w:p>
        </w:tc>
        <w:tc>
          <w:tcPr>
            <w:tcW w:w="2280" w:type="dxa"/>
          </w:tcPr>
          <w:p w14:paraId="61821D41" w14:textId="77777777" w:rsidR="00CC5A17" w:rsidRPr="00CC5A17" w:rsidRDefault="00E9069F" w:rsidP="003A782C">
            <w:pPr>
              <w:spacing w:before="0"/>
              <w:rPr>
                <w:rFonts w:cs="Arial"/>
              </w:rPr>
            </w:pPr>
            <w:r w:rsidRPr="00CC5A17">
              <w:rPr>
                <w:rFonts w:cs="Arial"/>
              </w:rPr>
              <w:t>Hydrogen iodide</w:t>
            </w:r>
          </w:p>
        </w:tc>
        <w:tc>
          <w:tcPr>
            <w:tcW w:w="3596" w:type="dxa"/>
          </w:tcPr>
          <w:p w14:paraId="61821D42" w14:textId="77777777" w:rsidR="00CC5A17" w:rsidRPr="00CC5A17" w:rsidRDefault="00E9069F" w:rsidP="003A782C">
            <w:pPr>
              <w:spacing w:before="0"/>
              <w:jc w:val="left"/>
              <w:rPr>
                <w:rFonts w:cs="Arial"/>
              </w:rPr>
            </w:pPr>
            <w:r w:rsidRPr="00CC5A17">
              <w:rPr>
                <w:rFonts w:cs="Arial"/>
              </w:rPr>
              <w:t>250 ml</w:t>
            </w:r>
          </w:p>
        </w:tc>
      </w:tr>
      <w:tr w:rsidR="0059373B" w14:paraId="61821D46" w14:textId="77777777" w:rsidTr="003A782C">
        <w:trPr>
          <w:cantSplit/>
        </w:trPr>
        <w:tc>
          <w:tcPr>
            <w:tcW w:w="3480" w:type="dxa"/>
          </w:tcPr>
          <w:p w14:paraId="61821D44" w14:textId="77777777" w:rsidR="00CC5A17" w:rsidRPr="00CC5A17" w:rsidRDefault="00E9069F" w:rsidP="003A782C">
            <w:pPr>
              <w:spacing w:before="0"/>
              <w:rPr>
                <w:rFonts w:cs="Arial"/>
              </w:rPr>
            </w:pPr>
            <w:r w:rsidRPr="00CC5A17">
              <w:rPr>
                <w:rFonts w:cs="Arial"/>
              </w:rPr>
              <w:t>4</w:t>
            </w:r>
            <w:r w:rsidRPr="00CC5A17">
              <w:rPr>
                <w:rFonts w:cs="Arial"/>
              </w:rPr>
              <w:noBreakHyphen/>
              <w:t>Hydroxybutanal</w:t>
            </w:r>
          </w:p>
        </w:tc>
        <w:tc>
          <w:tcPr>
            <w:tcW w:w="5876" w:type="dxa"/>
            <w:gridSpan w:val="2"/>
          </w:tcPr>
          <w:p w14:paraId="61821D45" w14:textId="77777777" w:rsidR="00CC5A17" w:rsidRPr="00CC5A17" w:rsidRDefault="00E9069F" w:rsidP="003A782C">
            <w:pPr>
              <w:spacing w:before="0"/>
              <w:rPr>
                <w:rFonts w:cs="Arial"/>
              </w:rPr>
            </w:pPr>
            <w:r w:rsidRPr="00CC5A17">
              <w:rPr>
                <w:rFonts w:cs="Arial"/>
              </w:rPr>
              <w:t>4</w:t>
            </w:r>
            <w:r w:rsidRPr="00CC5A17">
              <w:rPr>
                <w:rFonts w:cs="Arial"/>
              </w:rPr>
              <w:noBreakHyphen/>
              <w:t>Hydroxy butyraldehyde</w:t>
            </w:r>
          </w:p>
        </w:tc>
      </w:tr>
      <w:tr w:rsidR="0059373B" w14:paraId="61821D4A" w14:textId="77777777" w:rsidTr="003A782C">
        <w:trPr>
          <w:cantSplit/>
        </w:trPr>
        <w:tc>
          <w:tcPr>
            <w:tcW w:w="3480" w:type="dxa"/>
          </w:tcPr>
          <w:p w14:paraId="61821D47" w14:textId="77777777" w:rsidR="00CC5A17" w:rsidRPr="00CC5A17" w:rsidRDefault="00E9069F" w:rsidP="003A782C">
            <w:pPr>
              <w:spacing w:before="0"/>
              <w:rPr>
                <w:rFonts w:cs="Arial"/>
              </w:rPr>
            </w:pPr>
            <w:r w:rsidRPr="00CC5A17">
              <w:rPr>
                <w:rFonts w:cs="Arial"/>
              </w:rPr>
              <w:t>2</w:t>
            </w:r>
            <w:r w:rsidRPr="00CC5A17">
              <w:rPr>
                <w:rFonts w:cs="Arial"/>
              </w:rPr>
              <w:noBreakHyphen/>
              <w:t>Hydroxytetrahydrofuran</w:t>
            </w:r>
          </w:p>
        </w:tc>
        <w:tc>
          <w:tcPr>
            <w:tcW w:w="2280" w:type="dxa"/>
          </w:tcPr>
          <w:p w14:paraId="61821D48" w14:textId="77777777" w:rsidR="00CC5A17" w:rsidRPr="00CC5A17" w:rsidRDefault="00E9069F" w:rsidP="003A782C">
            <w:pPr>
              <w:spacing w:before="0"/>
              <w:rPr>
                <w:rFonts w:cs="Arial"/>
              </w:rPr>
            </w:pPr>
            <w:r w:rsidRPr="00CC5A17">
              <w:rPr>
                <w:rFonts w:cs="Arial"/>
              </w:rPr>
              <w:t>Tetrahydro</w:t>
            </w:r>
            <w:r w:rsidRPr="00CC5A17">
              <w:rPr>
                <w:rFonts w:cs="Arial"/>
              </w:rPr>
              <w:noBreakHyphen/>
              <w:t>2</w:t>
            </w:r>
            <w:r w:rsidRPr="00CC5A17">
              <w:rPr>
                <w:rFonts w:cs="Arial"/>
              </w:rPr>
              <w:noBreakHyphen/>
              <w:t>furanol</w:t>
            </w:r>
          </w:p>
        </w:tc>
        <w:tc>
          <w:tcPr>
            <w:tcW w:w="3596" w:type="dxa"/>
          </w:tcPr>
          <w:p w14:paraId="61821D49" w14:textId="77777777" w:rsidR="00CC5A17" w:rsidRPr="00CC5A17" w:rsidRDefault="00CC5A17" w:rsidP="003A782C">
            <w:pPr>
              <w:spacing w:before="0"/>
              <w:jc w:val="left"/>
              <w:rPr>
                <w:rFonts w:cs="Arial"/>
              </w:rPr>
            </w:pPr>
          </w:p>
        </w:tc>
      </w:tr>
      <w:tr w:rsidR="0059373B" w14:paraId="61821D4E" w14:textId="77777777" w:rsidTr="003A782C">
        <w:trPr>
          <w:cantSplit/>
        </w:trPr>
        <w:tc>
          <w:tcPr>
            <w:tcW w:w="3480" w:type="dxa"/>
          </w:tcPr>
          <w:p w14:paraId="61821D4B" w14:textId="77777777" w:rsidR="00CC5A17" w:rsidRPr="00CC5A17" w:rsidRDefault="00E9069F" w:rsidP="003A782C">
            <w:pPr>
              <w:spacing w:before="0"/>
              <w:rPr>
                <w:rFonts w:cs="Arial"/>
              </w:rPr>
            </w:pPr>
            <w:r w:rsidRPr="00CC5A17">
              <w:rPr>
                <w:rFonts w:cs="Arial"/>
              </w:rPr>
              <w:t>4</w:t>
            </w:r>
            <w:r w:rsidRPr="00CC5A17">
              <w:rPr>
                <w:rFonts w:cs="Arial"/>
              </w:rPr>
              <w:noBreakHyphen/>
              <w:t>Hydroxy</w:t>
            </w:r>
            <w:r w:rsidRPr="00CC5A17">
              <w:rPr>
                <w:rFonts w:cs="Arial"/>
              </w:rPr>
              <w:noBreakHyphen/>
              <w:t>butanoic acid lactone</w:t>
            </w:r>
          </w:p>
        </w:tc>
        <w:tc>
          <w:tcPr>
            <w:tcW w:w="2280" w:type="dxa"/>
          </w:tcPr>
          <w:p w14:paraId="61821D4C" w14:textId="77777777" w:rsidR="00CC5A17" w:rsidRPr="00CC5A17" w:rsidRDefault="00E9069F" w:rsidP="003A782C">
            <w:pPr>
              <w:spacing w:before="0"/>
              <w:rPr>
                <w:rFonts w:cs="Arial"/>
              </w:rPr>
            </w:pPr>
            <w:r w:rsidRPr="00CC5A17">
              <w:rPr>
                <w:rFonts w:cs="Arial"/>
              </w:rPr>
              <w:t>Gamma</w:t>
            </w:r>
            <w:r w:rsidRPr="00CC5A17">
              <w:rPr>
                <w:rFonts w:cs="Arial"/>
              </w:rPr>
              <w:noBreakHyphen/>
            </w:r>
            <w:proofErr w:type="spellStart"/>
            <w:r w:rsidRPr="00CC5A17">
              <w:rPr>
                <w:rFonts w:cs="Arial"/>
              </w:rPr>
              <w:t>valerolactone</w:t>
            </w:r>
            <w:proofErr w:type="spellEnd"/>
          </w:p>
        </w:tc>
        <w:tc>
          <w:tcPr>
            <w:tcW w:w="3596" w:type="dxa"/>
          </w:tcPr>
          <w:p w14:paraId="61821D4D" w14:textId="77777777" w:rsidR="00CC5A17" w:rsidRPr="00CC5A17" w:rsidRDefault="00CC5A17" w:rsidP="003A782C">
            <w:pPr>
              <w:spacing w:before="0"/>
              <w:jc w:val="left"/>
              <w:rPr>
                <w:rFonts w:cs="Arial"/>
              </w:rPr>
            </w:pPr>
          </w:p>
        </w:tc>
      </w:tr>
      <w:tr w:rsidR="0059373B" w14:paraId="61821D52" w14:textId="77777777" w:rsidTr="003A782C">
        <w:trPr>
          <w:cantSplit/>
        </w:trPr>
        <w:tc>
          <w:tcPr>
            <w:tcW w:w="3480" w:type="dxa"/>
          </w:tcPr>
          <w:p w14:paraId="61821D4F" w14:textId="77777777" w:rsidR="00CC5A17" w:rsidRPr="00CC5A17" w:rsidRDefault="00E9069F" w:rsidP="003A782C">
            <w:pPr>
              <w:spacing w:before="0"/>
              <w:rPr>
                <w:rFonts w:cs="Arial"/>
              </w:rPr>
            </w:pPr>
            <w:r w:rsidRPr="00CC5A17">
              <w:rPr>
                <w:rFonts w:cs="Arial"/>
              </w:rPr>
              <w:t>4</w:t>
            </w:r>
            <w:r w:rsidRPr="00CC5A17">
              <w:rPr>
                <w:rFonts w:cs="Arial"/>
              </w:rPr>
              <w:noBreakHyphen/>
              <w:t>Hydroxy</w:t>
            </w:r>
            <w:r w:rsidRPr="00CC5A17">
              <w:rPr>
                <w:rFonts w:cs="Arial"/>
              </w:rPr>
              <w:noBreakHyphen/>
              <w:t>butanoic acid nitrile</w:t>
            </w:r>
          </w:p>
        </w:tc>
        <w:tc>
          <w:tcPr>
            <w:tcW w:w="2280" w:type="dxa"/>
          </w:tcPr>
          <w:p w14:paraId="61821D50" w14:textId="77777777" w:rsidR="00CC5A17" w:rsidRPr="00CC5A17" w:rsidRDefault="00E9069F" w:rsidP="003A782C">
            <w:pPr>
              <w:spacing w:before="0"/>
              <w:rPr>
                <w:rFonts w:cs="Arial"/>
              </w:rPr>
            </w:pPr>
            <w:r w:rsidRPr="00CC5A17">
              <w:rPr>
                <w:rFonts w:cs="Arial"/>
              </w:rPr>
              <w:t>4</w:t>
            </w:r>
            <w:r w:rsidRPr="00CC5A17">
              <w:rPr>
                <w:rFonts w:cs="Arial"/>
              </w:rPr>
              <w:noBreakHyphen/>
              <w:t xml:space="preserve">Hydroxy </w:t>
            </w:r>
            <w:proofErr w:type="spellStart"/>
            <w:r w:rsidRPr="00CC5A17">
              <w:rPr>
                <w:rFonts w:cs="Arial"/>
              </w:rPr>
              <w:t>butyronitrile</w:t>
            </w:r>
            <w:proofErr w:type="spellEnd"/>
          </w:p>
        </w:tc>
        <w:tc>
          <w:tcPr>
            <w:tcW w:w="3596" w:type="dxa"/>
          </w:tcPr>
          <w:p w14:paraId="61821D51" w14:textId="77777777" w:rsidR="00CC5A17" w:rsidRPr="00CC5A17" w:rsidRDefault="00CC5A17" w:rsidP="003A782C">
            <w:pPr>
              <w:spacing w:before="0"/>
              <w:jc w:val="left"/>
              <w:rPr>
                <w:rFonts w:cs="Arial"/>
              </w:rPr>
            </w:pPr>
          </w:p>
        </w:tc>
      </w:tr>
      <w:tr w:rsidR="0059373B" w14:paraId="61821D56" w14:textId="77777777" w:rsidTr="003A782C">
        <w:trPr>
          <w:cantSplit/>
        </w:trPr>
        <w:tc>
          <w:tcPr>
            <w:tcW w:w="3480" w:type="dxa"/>
          </w:tcPr>
          <w:p w14:paraId="61821D53" w14:textId="77777777" w:rsidR="00CC5A17" w:rsidRPr="00CC5A17" w:rsidRDefault="00E9069F" w:rsidP="003A782C">
            <w:pPr>
              <w:spacing w:before="0"/>
              <w:rPr>
                <w:rFonts w:cs="Arial"/>
              </w:rPr>
            </w:pPr>
            <w:r w:rsidRPr="00CC5A17">
              <w:rPr>
                <w:rFonts w:cs="Arial"/>
              </w:rPr>
              <w:t>4</w:t>
            </w:r>
            <w:r w:rsidRPr="00CC5A17">
              <w:rPr>
                <w:rFonts w:cs="Arial"/>
              </w:rPr>
              <w:noBreakHyphen/>
              <w:t xml:space="preserve">Hydroxy </w:t>
            </w:r>
            <w:proofErr w:type="spellStart"/>
            <w:r w:rsidRPr="00CC5A17">
              <w:rPr>
                <w:rFonts w:cs="Arial"/>
              </w:rPr>
              <w:t>pentanoic</w:t>
            </w:r>
            <w:proofErr w:type="spellEnd"/>
            <w:r w:rsidRPr="00CC5A17">
              <w:rPr>
                <w:rFonts w:cs="Arial"/>
              </w:rPr>
              <w:t xml:space="preserve"> acid</w:t>
            </w:r>
          </w:p>
        </w:tc>
        <w:tc>
          <w:tcPr>
            <w:tcW w:w="2280" w:type="dxa"/>
          </w:tcPr>
          <w:p w14:paraId="61821D54" w14:textId="77777777" w:rsidR="00CC5A17" w:rsidRPr="00CC5A17" w:rsidRDefault="00E9069F" w:rsidP="003A782C">
            <w:pPr>
              <w:spacing w:before="0"/>
              <w:rPr>
                <w:rFonts w:cs="Arial"/>
              </w:rPr>
            </w:pPr>
            <w:r w:rsidRPr="00CC5A17">
              <w:rPr>
                <w:rFonts w:cs="Arial"/>
              </w:rPr>
              <w:t xml:space="preserve">Gamma </w:t>
            </w:r>
            <w:proofErr w:type="spellStart"/>
            <w:r w:rsidRPr="00CC5A17">
              <w:rPr>
                <w:rFonts w:cs="Arial"/>
              </w:rPr>
              <w:t>Valerolactone</w:t>
            </w:r>
            <w:proofErr w:type="spellEnd"/>
          </w:p>
        </w:tc>
        <w:tc>
          <w:tcPr>
            <w:tcW w:w="3596" w:type="dxa"/>
          </w:tcPr>
          <w:p w14:paraId="61821D55" w14:textId="77777777" w:rsidR="00CC5A17" w:rsidRPr="00CC5A17" w:rsidRDefault="00CC5A17" w:rsidP="003A782C">
            <w:pPr>
              <w:spacing w:before="0"/>
              <w:jc w:val="left"/>
              <w:rPr>
                <w:rFonts w:cs="Arial"/>
              </w:rPr>
            </w:pPr>
          </w:p>
        </w:tc>
      </w:tr>
      <w:tr w:rsidR="0059373B" w14:paraId="61821D5A" w14:textId="77777777" w:rsidTr="003A782C">
        <w:trPr>
          <w:cantSplit/>
        </w:trPr>
        <w:tc>
          <w:tcPr>
            <w:tcW w:w="3480" w:type="dxa"/>
          </w:tcPr>
          <w:p w14:paraId="61821D57" w14:textId="77777777" w:rsidR="00CC5A17" w:rsidRPr="00CC5A17" w:rsidRDefault="00E9069F" w:rsidP="003A782C">
            <w:pPr>
              <w:spacing w:before="0"/>
              <w:rPr>
                <w:rFonts w:cs="Arial"/>
              </w:rPr>
            </w:pPr>
            <w:proofErr w:type="spellStart"/>
            <w:r w:rsidRPr="00CC5A17">
              <w:rPr>
                <w:rFonts w:cs="Arial"/>
              </w:rPr>
              <w:t>Hypophosphorous</w:t>
            </w:r>
            <w:proofErr w:type="spellEnd"/>
            <w:r w:rsidRPr="00CC5A17">
              <w:rPr>
                <w:rFonts w:cs="Arial"/>
              </w:rPr>
              <w:t xml:space="preserve"> acid</w:t>
            </w:r>
          </w:p>
        </w:tc>
        <w:tc>
          <w:tcPr>
            <w:tcW w:w="2280" w:type="dxa"/>
          </w:tcPr>
          <w:p w14:paraId="61821D58" w14:textId="77777777" w:rsidR="00CC5A17" w:rsidRPr="00CC5A17" w:rsidRDefault="00E9069F" w:rsidP="003A782C">
            <w:pPr>
              <w:spacing w:before="0"/>
              <w:rPr>
                <w:rFonts w:cs="Arial"/>
              </w:rPr>
            </w:pPr>
            <w:proofErr w:type="spellStart"/>
            <w:r w:rsidRPr="00CC5A17">
              <w:rPr>
                <w:rFonts w:cs="Arial"/>
              </w:rPr>
              <w:t>Phosphinic</w:t>
            </w:r>
            <w:proofErr w:type="spellEnd"/>
            <w:r w:rsidRPr="00CC5A17">
              <w:rPr>
                <w:rFonts w:cs="Arial"/>
              </w:rPr>
              <w:t xml:space="preserve"> acid</w:t>
            </w:r>
          </w:p>
        </w:tc>
        <w:tc>
          <w:tcPr>
            <w:tcW w:w="3596" w:type="dxa"/>
          </w:tcPr>
          <w:p w14:paraId="61821D59" w14:textId="77777777" w:rsidR="00CC5A17" w:rsidRPr="00CC5A17" w:rsidRDefault="00E9069F" w:rsidP="003A782C">
            <w:pPr>
              <w:spacing w:before="0"/>
              <w:jc w:val="left"/>
              <w:rPr>
                <w:rFonts w:cs="Arial"/>
              </w:rPr>
            </w:pPr>
            <w:r w:rsidRPr="00CC5A17">
              <w:rPr>
                <w:rFonts w:cs="Arial"/>
              </w:rPr>
              <w:t>39 ml</w:t>
            </w:r>
          </w:p>
        </w:tc>
      </w:tr>
      <w:tr w:rsidR="0059373B" w14:paraId="61821D5E" w14:textId="77777777" w:rsidTr="003A782C">
        <w:trPr>
          <w:cantSplit/>
        </w:trPr>
        <w:tc>
          <w:tcPr>
            <w:tcW w:w="3480" w:type="dxa"/>
          </w:tcPr>
          <w:p w14:paraId="61821D5B" w14:textId="77777777" w:rsidR="00CC5A17" w:rsidRPr="00CC5A17" w:rsidRDefault="00E9069F" w:rsidP="003A782C">
            <w:pPr>
              <w:spacing w:before="0"/>
              <w:rPr>
                <w:rFonts w:cs="Arial"/>
              </w:rPr>
            </w:pPr>
            <w:r w:rsidRPr="00CC5A17">
              <w:rPr>
                <w:rFonts w:cs="Arial"/>
              </w:rPr>
              <w:t>Iodine (including iodide salts)</w:t>
            </w:r>
          </w:p>
        </w:tc>
        <w:tc>
          <w:tcPr>
            <w:tcW w:w="2280" w:type="dxa"/>
          </w:tcPr>
          <w:p w14:paraId="61821D5C" w14:textId="77777777" w:rsidR="00CC5A17" w:rsidRPr="00CC5A17" w:rsidRDefault="00CC5A17" w:rsidP="003A782C">
            <w:pPr>
              <w:spacing w:before="0"/>
              <w:rPr>
                <w:rFonts w:cs="Arial"/>
              </w:rPr>
            </w:pPr>
          </w:p>
        </w:tc>
        <w:tc>
          <w:tcPr>
            <w:tcW w:w="3596" w:type="dxa"/>
          </w:tcPr>
          <w:p w14:paraId="61821D5D" w14:textId="77777777" w:rsidR="00CC5A17" w:rsidRPr="00CC5A17" w:rsidRDefault="00E9069F" w:rsidP="003A782C">
            <w:pPr>
              <w:spacing w:before="0"/>
              <w:jc w:val="left"/>
              <w:rPr>
                <w:rFonts w:cs="Arial"/>
              </w:rPr>
            </w:pPr>
            <w:r w:rsidRPr="00CC5A17">
              <w:rPr>
                <w:rFonts w:cs="Arial"/>
              </w:rPr>
              <w:t>30 g</w:t>
            </w:r>
          </w:p>
        </w:tc>
      </w:tr>
      <w:tr w:rsidR="0059373B" w14:paraId="61821D62" w14:textId="77777777" w:rsidTr="003A782C">
        <w:trPr>
          <w:cantSplit/>
        </w:trPr>
        <w:tc>
          <w:tcPr>
            <w:tcW w:w="3480" w:type="dxa"/>
          </w:tcPr>
          <w:p w14:paraId="61821D5F" w14:textId="77777777" w:rsidR="00CC5A17" w:rsidRPr="00CC5A17" w:rsidRDefault="00E9069F" w:rsidP="003A782C">
            <w:pPr>
              <w:spacing w:before="0"/>
              <w:rPr>
                <w:rFonts w:cs="Arial"/>
              </w:rPr>
            </w:pPr>
            <w:r w:rsidRPr="00CC5A17">
              <w:rPr>
                <w:rFonts w:cs="Arial"/>
              </w:rPr>
              <w:t>Methcathinone</w:t>
            </w:r>
          </w:p>
        </w:tc>
        <w:tc>
          <w:tcPr>
            <w:tcW w:w="2280" w:type="dxa"/>
          </w:tcPr>
          <w:p w14:paraId="61821D60" w14:textId="77777777" w:rsidR="00CC5A17" w:rsidRPr="00CC5A17" w:rsidRDefault="00E9069F" w:rsidP="003A782C">
            <w:pPr>
              <w:spacing w:before="0"/>
              <w:rPr>
                <w:rFonts w:cs="Arial"/>
              </w:rPr>
            </w:pPr>
            <w:proofErr w:type="spellStart"/>
            <w:r w:rsidRPr="00CC5A17">
              <w:rPr>
                <w:rFonts w:cs="Arial"/>
              </w:rPr>
              <w:t>Ephedrone</w:t>
            </w:r>
            <w:proofErr w:type="spellEnd"/>
          </w:p>
        </w:tc>
        <w:tc>
          <w:tcPr>
            <w:tcW w:w="3596" w:type="dxa"/>
          </w:tcPr>
          <w:p w14:paraId="61821D61" w14:textId="77777777" w:rsidR="00CC5A17" w:rsidRPr="00CC5A17" w:rsidRDefault="00CC5A17" w:rsidP="003A782C">
            <w:pPr>
              <w:spacing w:before="0"/>
              <w:jc w:val="left"/>
              <w:rPr>
                <w:rFonts w:cs="Arial"/>
              </w:rPr>
            </w:pPr>
          </w:p>
        </w:tc>
      </w:tr>
      <w:tr w:rsidR="0059373B" w14:paraId="61821D65" w14:textId="77777777" w:rsidTr="003A782C">
        <w:trPr>
          <w:cantSplit/>
        </w:trPr>
        <w:tc>
          <w:tcPr>
            <w:tcW w:w="5760" w:type="dxa"/>
            <w:gridSpan w:val="2"/>
          </w:tcPr>
          <w:p w14:paraId="61821D63" w14:textId="77777777" w:rsidR="00CC5A17" w:rsidRPr="00CC5A17" w:rsidRDefault="00E9069F" w:rsidP="003A782C">
            <w:pPr>
              <w:spacing w:before="0"/>
              <w:rPr>
                <w:rFonts w:cs="Arial"/>
              </w:rPr>
            </w:pPr>
            <w:r w:rsidRPr="00CC5A17">
              <w:rPr>
                <w:rFonts w:cs="Arial"/>
              </w:rPr>
              <w:t>3, 4</w:t>
            </w:r>
            <w:r w:rsidRPr="00CC5A17">
              <w:rPr>
                <w:rFonts w:cs="Arial"/>
              </w:rPr>
              <w:noBreakHyphen/>
              <w:t>Methylenedioxyphenylpropan</w:t>
            </w:r>
            <w:r w:rsidRPr="00CC5A17">
              <w:rPr>
                <w:rFonts w:cs="Arial"/>
              </w:rPr>
              <w:noBreakHyphen/>
              <w:t>2</w:t>
            </w:r>
            <w:r w:rsidRPr="00CC5A17">
              <w:rPr>
                <w:rFonts w:cs="Arial"/>
              </w:rPr>
              <w:noBreakHyphen/>
              <w:t>one</w:t>
            </w:r>
          </w:p>
        </w:tc>
        <w:tc>
          <w:tcPr>
            <w:tcW w:w="3596" w:type="dxa"/>
          </w:tcPr>
          <w:p w14:paraId="61821D64" w14:textId="77777777" w:rsidR="00CC5A17" w:rsidRPr="00CC5A17" w:rsidRDefault="00CC5A17" w:rsidP="003A782C">
            <w:pPr>
              <w:spacing w:before="0"/>
              <w:jc w:val="left"/>
              <w:rPr>
                <w:rFonts w:cs="Arial"/>
              </w:rPr>
            </w:pPr>
          </w:p>
        </w:tc>
      </w:tr>
      <w:tr w:rsidR="0059373B" w14:paraId="61821D69" w14:textId="77777777" w:rsidTr="003A782C">
        <w:trPr>
          <w:cantSplit/>
        </w:trPr>
        <w:tc>
          <w:tcPr>
            <w:tcW w:w="3480" w:type="dxa"/>
          </w:tcPr>
          <w:p w14:paraId="61821D66" w14:textId="77777777" w:rsidR="00CC5A17" w:rsidRPr="00CC5A17" w:rsidRDefault="00E9069F" w:rsidP="003A782C">
            <w:pPr>
              <w:spacing w:before="0"/>
              <w:rPr>
                <w:rFonts w:cs="Arial"/>
              </w:rPr>
            </w:pPr>
            <w:r w:rsidRPr="00CC5A17">
              <w:rPr>
                <w:rFonts w:cs="Arial"/>
              </w:rPr>
              <w:t>N</w:t>
            </w:r>
            <w:r w:rsidRPr="00CC5A17">
              <w:rPr>
                <w:rFonts w:cs="Arial"/>
              </w:rPr>
              <w:noBreakHyphen/>
              <w:t>Methyl ephedrine</w:t>
            </w:r>
          </w:p>
        </w:tc>
        <w:tc>
          <w:tcPr>
            <w:tcW w:w="2280" w:type="dxa"/>
          </w:tcPr>
          <w:p w14:paraId="61821D67" w14:textId="77777777" w:rsidR="00CC5A17" w:rsidRPr="00CC5A17" w:rsidRDefault="00CC5A17" w:rsidP="003A782C">
            <w:pPr>
              <w:spacing w:before="0"/>
              <w:rPr>
                <w:rFonts w:cs="Arial"/>
              </w:rPr>
            </w:pPr>
          </w:p>
        </w:tc>
        <w:tc>
          <w:tcPr>
            <w:tcW w:w="3596" w:type="dxa"/>
          </w:tcPr>
          <w:p w14:paraId="61821D68" w14:textId="77777777" w:rsidR="00CC5A17" w:rsidRPr="00CC5A17" w:rsidRDefault="00CC5A17" w:rsidP="003A782C">
            <w:pPr>
              <w:spacing w:before="0"/>
              <w:jc w:val="left"/>
              <w:rPr>
                <w:rFonts w:cs="Arial"/>
              </w:rPr>
            </w:pPr>
          </w:p>
        </w:tc>
      </w:tr>
      <w:tr w:rsidR="0059373B" w14:paraId="61821D6D" w14:textId="77777777" w:rsidTr="003A782C">
        <w:trPr>
          <w:cantSplit/>
        </w:trPr>
        <w:tc>
          <w:tcPr>
            <w:tcW w:w="3480" w:type="dxa"/>
          </w:tcPr>
          <w:p w14:paraId="61821D6A" w14:textId="77777777" w:rsidR="00CC5A17" w:rsidRPr="00CC5A17" w:rsidRDefault="00E9069F" w:rsidP="003A782C">
            <w:pPr>
              <w:spacing w:before="0"/>
              <w:rPr>
                <w:rFonts w:cs="Arial"/>
              </w:rPr>
            </w:pPr>
            <w:r w:rsidRPr="00CC5A17">
              <w:rPr>
                <w:rFonts w:cs="Arial"/>
              </w:rPr>
              <w:t xml:space="preserve">Methyl phenyl acetate </w:t>
            </w:r>
          </w:p>
        </w:tc>
        <w:tc>
          <w:tcPr>
            <w:tcW w:w="2280" w:type="dxa"/>
          </w:tcPr>
          <w:p w14:paraId="61821D6B" w14:textId="77777777" w:rsidR="00CC5A17" w:rsidRPr="00CC5A17" w:rsidRDefault="00E9069F" w:rsidP="003A782C">
            <w:pPr>
              <w:spacing w:before="0"/>
              <w:rPr>
                <w:rFonts w:cs="Arial"/>
              </w:rPr>
            </w:pPr>
            <w:proofErr w:type="spellStart"/>
            <w:r w:rsidRPr="00CC5A17">
              <w:rPr>
                <w:rFonts w:cs="Arial"/>
              </w:rPr>
              <w:t>Benzeneacetic</w:t>
            </w:r>
            <w:proofErr w:type="spellEnd"/>
            <w:r w:rsidRPr="00CC5A17">
              <w:rPr>
                <w:rFonts w:cs="Arial"/>
              </w:rPr>
              <w:t xml:space="preserve"> acid, Methyl ester, Benzyl Acetate </w:t>
            </w:r>
          </w:p>
        </w:tc>
        <w:tc>
          <w:tcPr>
            <w:tcW w:w="3596" w:type="dxa"/>
          </w:tcPr>
          <w:p w14:paraId="61821D6C" w14:textId="77777777" w:rsidR="00CC5A17" w:rsidRPr="00CC5A17" w:rsidRDefault="00CC5A17" w:rsidP="003A782C">
            <w:pPr>
              <w:spacing w:before="0"/>
              <w:jc w:val="left"/>
              <w:rPr>
                <w:rFonts w:cs="Arial"/>
              </w:rPr>
            </w:pPr>
          </w:p>
        </w:tc>
      </w:tr>
      <w:tr w:rsidR="0059373B" w14:paraId="61821D71" w14:textId="77777777" w:rsidTr="003A782C">
        <w:trPr>
          <w:cantSplit/>
        </w:trPr>
        <w:tc>
          <w:tcPr>
            <w:tcW w:w="3480" w:type="dxa"/>
          </w:tcPr>
          <w:p w14:paraId="61821D6E" w14:textId="77777777" w:rsidR="00CC5A17" w:rsidRPr="00CC5A17" w:rsidRDefault="00E9069F" w:rsidP="003A782C">
            <w:pPr>
              <w:spacing w:before="0"/>
              <w:rPr>
                <w:rFonts w:cs="Arial"/>
              </w:rPr>
            </w:pPr>
            <w:r w:rsidRPr="00CC5A17">
              <w:rPr>
                <w:rFonts w:cs="Arial"/>
              </w:rPr>
              <w:t>N</w:t>
            </w:r>
            <w:r w:rsidRPr="00CC5A17">
              <w:rPr>
                <w:rFonts w:cs="Arial"/>
              </w:rPr>
              <w:noBreakHyphen/>
            </w:r>
            <w:proofErr w:type="spellStart"/>
            <w:r w:rsidRPr="00CC5A17">
              <w:rPr>
                <w:rFonts w:cs="Arial"/>
              </w:rPr>
              <w:t>Methylpseudoephedrine</w:t>
            </w:r>
            <w:proofErr w:type="spellEnd"/>
          </w:p>
        </w:tc>
        <w:tc>
          <w:tcPr>
            <w:tcW w:w="2280" w:type="dxa"/>
          </w:tcPr>
          <w:p w14:paraId="61821D6F" w14:textId="77777777" w:rsidR="00CC5A17" w:rsidRPr="00CC5A17" w:rsidRDefault="00CC5A17" w:rsidP="003A782C">
            <w:pPr>
              <w:spacing w:before="0"/>
              <w:rPr>
                <w:rFonts w:cs="Arial"/>
              </w:rPr>
            </w:pPr>
          </w:p>
        </w:tc>
        <w:tc>
          <w:tcPr>
            <w:tcW w:w="3596" w:type="dxa"/>
          </w:tcPr>
          <w:p w14:paraId="61821D70" w14:textId="77777777" w:rsidR="00CC5A17" w:rsidRPr="00CC5A17" w:rsidRDefault="00CC5A17" w:rsidP="003A782C">
            <w:pPr>
              <w:spacing w:before="0"/>
              <w:jc w:val="left"/>
              <w:rPr>
                <w:rFonts w:cs="Arial"/>
              </w:rPr>
            </w:pPr>
          </w:p>
        </w:tc>
      </w:tr>
      <w:tr w:rsidR="0059373B" w14:paraId="61821D75" w14:textId="77777777" w:rsidTr="003A782C">
        <w:trPr>
          <w:cantSplit/>
        </w:trPr>
        <w:tc>
          <w:tcPr>
            <w:tcW w:w="3480" w:type="dxa"/>
          </w:tcPr>
          <w:p w14:paraId="61821D72" w14:textId="77777777" w:rsidR="00CC5A17" w:rsidRPr="00CC5A17" w:rsidRDefault="00E9069F" w:rsidP="003A782C">
            <w:pPr>
              <w:spacing w:before="0"/>
              <w:rPr>
                <w:rFonts w:cs="Arial"/>
              </w:rPr>
            </w:pPr>
            <w:proofErr w:type="spellStart"/>
            <w:r w:rsidRPr="00CC5A17">
              <w:rPr>
                <w:rFonts w:cs="Arial"/>
              </w:rPr>
              <w:t>Norpseudoephedrine</w:t>
            </w:r>
            <w:proofErr w:type="spellEnd"/>
          </w:p>
        </w:tc>
        <w:tc>
          <w:tcPr>
            <w:tcW w:w="2280" w:type="dxa"/>
          </w:tcPr>
          <w:p w14:paraId="61821D73" w14:textId="77777777" w:rsidR="00CC5A17" w:rsidRPr="00CC5A17" w:rsidRDefault="00CC5A17" w:rsidP="003A782C">
            <w:pPr>
              <w:spacing w:before="0"/>
              <w:rPr>
                <w:rFonts w:cs="Arial"/>
              </w:rPr>
            </w:pPr>
          </w:p>
        </w:tc>
        <w:tc>
          <w:tcPr>
            <w:tcW w:w="3596" w:type="dxa"/>
          </w:tcPr>
          <w:p w14:paraId="61821D74" w14:textId="77777777" w:rsidR="00CC5A17" w:rsidRPr="00CC5A17" w:rsidRDefault="00CC5A17" w:rsidP="003A782C">
            <w:pPr>
              <w:spacing w:before="0"/>
              <w:jc w:val="left"/>
              <w:rPr>
                <w:rFonts w:cs="Arial"/>
              </w:rPr>
            </w:pPr>
          </w:p>
        </w:tc>
      </w:tr>
      <w:tr w:rsidR="0059373B" w14:paraId="61821D79" w14:textId="77777777" w:rsidTr="003A782C">
        <w:trPr>
          <w:cantSplit/>
        </w:trPr>
        <w:tc>
          <w:tcPr>
            <w:tcW w:w="3480" w:type="dxa"/>
          </w:tcPr>
          <w:p w14:paraId="61821D76" w14:textId="77777777" w:rsidR="00CC5A17" w:rsidRPr="00CC5A17" w:rsidRDefault="00E9069F" w:rsidP="003A782C">
            <w:pPr>
              <w:spacing w:before="0"/>
              <w:rPr>
                <w:rFonts w:cs="Arial"/>
              </w:rPr>
            </w:pPr>
            <w:r w:rsidRPr="00CC5A17">
              <w:rPr>
                <w:rFonts w:cs="Arial"/>
              </w:rPr>
              <w:t>2</w:t>
            </w:r>
            <w:r w:rsidRPr="00CC5A17">
              <w:rPr>
                <w:rFonts w:cs="Arial"/>
              </w:rPr>
              <w:noBreakHyphen/>
              <w:t>Pyrrolidone Gamma</w:t>
            </w:r>
            <w:r w:rsidRPr="00CC5A17">
              <w:rPr>
                <w:rFonts w:cs="Arial"/>
              </w:rPr>
              <w:noBreakHyphen/>
            </w:r>
            <w:proofErr w:type="spellStart"/>
            <w:r w:rsidRPr="00CC5A17">
              <w:rPr>
                <w:rFonts w:cs="Arial"/>
              </w:rPr>
              <w:t>butyrolactam</w:t>
            </w:r>
            <w:proofErr w:type="spellEnd"/>
          </w:p>
        </w:tc>
        <w:tc>
          <w:tcPr>
            <w:tcW w:w="2280" w:type="dxa"/>
          </w:tcPr>
          <w:p w14:paraId="61821D77" w14:textId="77777777" w:rsidR="00CC5A17" w:rsidRPr="00CC5A17" w:rsidRDefault="00CC5A17" w:rsidP="003A782C">
            <w:pPr>
              <w:spacing w:before="0"/>
              <w:rPr>
                <w:rFonts w:cs="Arial"/>
              </w:rPr>
            </w:pPr>
          </w:p>
        </w:tc>
        <w:tc>
          <w:tcPr>
            <w:tcW w:w="3596" w:type="dxa"/>
          </w:tcPr>
          <w:p w14:paraId="61821D78" w14:textId="77777777" w:rsidR="00CC5A17" w:rsidRPr="00CC5A17" w:rsidRDefault="00CC5A17" w:rsidP="003A782C">
            <w:pPr>
              <w:spacing w:before="0"/>
              <w:jc w:val="left"/>
              <w:rPr>
                <w:rFonts w:cs="Arial"/>
              </w:rPr>
            </w:pPr>
          </w:p>
        </w:tc>
      </w:tr>
      <w:tr w:rsidR="0059373B" w14:paraId="61821D7D" w14:textId="77777777" w:rsidTr="003A782C">
        <w:trPr>
          <w:cantSplit/>
        </w:trPr>
        <w:tc>
          <w:tcPr>
            <w:tcW w:w="3480" w:type="dxa"/>
          </w:tcPr>
          <w:p w14:paraId="61821D7A" w14:textId="77777777" w:rsidR="00CC5A17" w:rsidRPr="00CC5A17" w:rsidRDefault="00E9069F" w:rsidP="003A782C">
            <w:pPr>
              <w:spacing w:before="0"/>
              <w:rPr>
                <w:rFonts w:cs="Arial"/>
              </w:rPr>
            </w:pPr>
            <w:r w:rsidRPr="00CC5A17">
              <w:rPr>
                <w:rFonts w:cs="Arial"/>
              </w:rPr>
              <w:t>Phenylacetamide</w:t>
            </w:r>
          </w:p>
        </w:tc>
        <w:tc>
          <w:tcPr>
            <w:tcW w:w="2280" w:type="dxa"/>
          </w:tcPr>
          <w:p w14:paraId="61821D7B" w14:textId="77777777" w:rsidR="00CC5A17" w:rsidRPr="00CC5A17" w:rsidRDefault="00CC5A17" w:rsidP="003A782C">
            <w:pPr>
              <w:spacing w:before="0"/>
              <w:rPr>
                <w:rFonts w:cs="Arial"/>
              </w:rPr>
            </w:pPr>
          </w:p>
        </w:tc>
        <w:tc>
          <w:tcPr>
            <w:tcW w:w="3596" w:type="dxa"/>
          </w:tcPr>
          <w:p w14:paraId="61821D7C" w14:textId="77777777" w:rsidR="00CC5A17" w:rsidRPr="00CC5A17" w:rsidRDefault="00CC5A17" w:rsidP="003A782C">
            <w:pPr>
              <w:spacing w:before="0"/>
              <w:jc w:val="left"/>
              <w:rPr>
                <w:rFonts w:cs="Arial"/>
              </w:rPr>
            </w:pPr>
          </w:p>
        </w:tc>
      </w:tr>
      <w:tr w:rsidR="0059373B" w14:paraId="61821D81" w14:textId="77777777" w:rsidTr="003A782C">
        <w:trPr>
          <w:cantSplit/>
        </w:trPr>
        <w:tc>
          <w:tcPr>
            <w:tcW w:w="3480" w:type="dxa"/>
          </w:tcPr>
          <w:p w14:paraId="61821D7E" w14:textId="77777777" w:rsidR="00CC5A17" w:rsidRPr="00CC5A17" w:rsidRDefault="00E9069F" w:rsidP="003A782C">
            <w:pPr>
              <w:spacing w:before="0"/>
              <w:rPr>
                <w:rFonts w:cs="Arial"/>
              </w:rPr>
            </w:pPr>
            <w:r w:rsidRPr="00CC5A17">
              <w:rPr>
                <w:rFonts w:cs="Arial"/>
              </w:rPr>
              <w:lastRenderedPageBreak/>
              <w:t>Phenylacetic acid (including salts and esters)</w:t>
            </w:r>
          </w:p>
        </w:tc>
        <w:tc>
          <w:tcPr>
            <w:tcW w:w="2280" w:type="dxa"/>
          </w:tcPr>
          <w:p w14:paraId="61821D7F" w14:textId="77777777" w:rsidR="00CC5A17" w:rsidRPr="00CC5A17" w:rsidRDefault="00CC5A17" w:rsidP="003A782C">
            <w:pPr>
              <w:spacing w:before="0"/>
              <w:rPr>
                <w:rFonts w:cs="Arial"/>
              </w:rPr>
            </w:pPr>
          </w:p>
        </w:tc>
        <w:tc>
          <w:tcPr>
            <w:tcW w:w="3596" w:type="dxa"/>
          </w:tcPr>
          <w:p w14:paraId="61821D80" w14:textId="77777777" w:rsidR="00CC5A17" w:rsidRPr="00CC5A17" w:rsidRDefault="00E9069F" w:rsidP="003A782C">
            <w:pPr>
              <w:spacing w:before="0"/>
              <w:jc w:val="left"/>
              <w:rPr>
                <w:rFonts w:cs="Arial"/>
              </w:rPr>
            </w:pPr>
            <w:r w:rsidRPr="00CC5A17">
              <w:rPr>
                <w:rFonts w:cs="Arial"/>
              </w:rPr>
              <w:t>33 ml</w:t>
            </w:r>
          </w:p>
        </w:tc>
      </w:tr>
      <w:tr w:rsidR="0059373B" w14:paraId="61821D85" w14:textId="77777777" w:rsidTr="003A782C">
        <w:trPr>
          <w:cantSplit/>
        </w:trPr>
        <w:tc>
          <w:tcPr>
            <w:tcW w:w="3480" w:type="dxa"/>
          </w:tcPr>
          <w:p w14:paraId="61821D82" w14:textId="77777777" w:rsidR="00CC5A17" w:rsidRPr="00CC5A17" w:rsidRDefault="00E9069F" w:rsidP="003A782C">
            <w:pPr>
              <w:spacing w:before="0"/>
              <w:rPr>
                <w:rFonts w:cs="Arial"/>
              </w:rPr>
            </w:pPr>
            <w:proofErr w:type="spellStart"/>
            <w:r w:rsidRPr="00CC5A17">
              <w:rPr>
                <w:rFonts w:cs="Arial"/>
              </w:rPr>
              <w:t>Phenylacetonitrile</w:t>
            </w:r>
            <w:proofErr w:type="spellEnd"/>
            <w:r w:rsidRPr="00CC5A17">
              <w:rPr>
                <w:rFonts w:cs="Arial"/>
              </w:rPr>
              <w:t xml:space="preserve"> </w:t>
            </w:r>
          </w:p>
        </w:tc>
        <w:tc>
          <w:tcPr>
            <w:tcW w:w="2280" w:type="dxa"/>
          </w:tcPr>
          <w:p w14:paraId="61821D83" w14:textId="77777777" w:rsidR="00CC5A17" w:rsidRPr="00CC5A17" w:rsidRDefault="00E9069F" w:rsidP="003A782C">
            <w:pPr>
              <w:spacing w:before="0"/>
              <w:rPr>
                <w:rFonts w:cs="Arial"/>
              </w:rPr>
            </w:pPr>
            <w:r w:rsidRPr="00CC5A17">
              <w:rPr>
                <w:rFonts w:cs="Arial"/>
              </w:rPr>
              <w:t xml:space="preserve">Benzyl cyanide, </w:t>
            </w:r>
            <w:proofErr w:type="spellStart"/>
            <w:r w:rsidRPr="00CC5A17">
              <w:rPr>
                <w:rFonts w:cs="Arial"/>
              </w:rPr>
              <w:t>Benzeneacetonitrile</w:t>
            </w:r>
            <w:proofErr w:type="spellEnd"/>
            <w:r w:rsidRPr="00CC5A17">
              <w:rPr>
                <w:rFonts w:cs="Arial"/>
              </w:rPr>
              <w:t xml:space="preserve"> Benzyl nitrile</w:t>
            </w:r>
          </w:p>
        </w:tc>
        <w:tc>
          <w:tcPr>
            <w:tcW w:w="3596" w:type="dxa"/>
          </w:tcPr>
          <w:p w14:paraId="61821D84" w14:textId="77777777" w:rsidR="00CC5A17" w:rsidRPr="00CC5A17" w:rsidRDefault="00CC5A17" w:rsidP="003A782C">
            <w:pPr>
              <w:spacing w:before="0"/>
              <w:jc w:val="left"/>
              <w:rPr>
                <w:rFonts w:cs="Arial"/>
              </w:rPr>
            </w:pPr>
          </w:p>
        </w:tc>
      </w:tr>
      <w:tr w:rsidR="0059373B" w14:paraId="61821D89" w14:textId="77777777" w:rsidTr="003A782C">
        <w:trPr>
          <w:cantSplit/>
        </w:trPr>
        <w:tc>
          <w:tcPr>
            <w:tcW w:w="3480" w:type="dxa"/>
          </w:tcPr>
          <w:p w14:paraId="61821D86" w14:textId="77777777" w:rsidR="00CC5A17" w:rsidRPr="00CC5A17" w:rsidRDefault="00E9069F" w:rsidP="003A782C">
            <w:pPr>
              <w:spacing w:before="0"/>
              <w:rPr>
                <w:rFonts w:cs="Arial"/>
              </w:rPr>
            </w:pPr>
            <w:r w:rsidRPr="00CC5A17">
              <w:rPr>
                <w:rFonts w:cs="Arial"/>
              </w:rPr>
              <w:t>Phenylacetyl chloride</w:t>
            </w:r>
          </w:p>
        </w:tc>
        <w:tc>
          <w:tcPr>
            <w:tcW w:w="2280" w:type="dxa"/>
          </w:tcPr>
          <w:p w14:paraId="61821D87" w14:textId="77777777" w:rsidR="00CC5A17" w:rsidRPr="00CC5A17" w:rsidRDefault="00CC5A17" w:rsidP="003A782C">
            <w:pPr>
              <w:spacing w:before="0"/>
              <w:rPr>
                <w:rFonts w:cs="Arial"/>
              </w:rPr>
            </w:pPr>
          </w:p>
        </w:tc>
        <w:tc>
          <w:tcPr>
            <w:tcW w:w="3596" w:type="dxa"/>
          </w:tcPr>
          <w:p w14:paraId="61821D88" w14:textId="77777777" w:rsidR="00CC5A17" w:rsidRPr="00CC5A17" w:rsidRDefault="00CC5A17" w:rsidP="003A782C">
            <w:pPr>
              <w:spacing w:before="0"/>
              <w:jc w:val="left"/>
              <w:rPr>
                <w:rFonts w:cs="Arial"/>
              </w:rPr>
            </w:pPr>
          </w:p>
        </w:tc>
      </w:tr>
      <w:tr w:rsidR="0059373B" w14:paraId="61821D8D" w14:textId="77777777" w:rsidTr="003A782C">
        <w:trPr>
          <w:cantSplit/>
        </w:trPr>
        <w:tc>
          <w:tcPr>
            <w:tcW w:w="3480" w:type="dxa"/>
          </w:tcPr>
          <w:p w14:paraId="61821D8A" w14:textId="77777777" w:rsidR="00CC5A17" w:rsidRPr="00CC5A17" w:rsidRDefault="00E9069F" w:rsidP="003A782C">
            <w:pPr>
              <w:spacing w:before="0"/>
              <w:rPr>
                <w:rFonts w:cs="Arial"/>
              </w:rPr>
            </w:pPr>
            <w:r w:rsidRPr="00CC5A17">
              <w:rPr>
                <w:rFonts w:cs="Arial"/>
              </w:rPr>
              <w:t>1</w:t>
            </w:r>
            <w:r w:rsidRPr="00CC5A17">
              <w:rPr>
                <w:rFonts w:cs="Arial"/>
              </w:rPr>
              <w:noBreakHyphen/>
              <w:t>Phenyl</w:t>
            </w:r>
            <w:r w:rsidRPr="00CC5A17">
              <w:rPr>
                <w:rFonts w:cs="Arial"/>
              </w:rPr>
              <w:noBreakHyphen/>
              <w:t>2</w:t>
            </w:r>
            <w:r w:rsidRPr="00CC5A17">
              <w:rPr>
                <w:rFonts w:cs="Arial"/>
              </w:rPr>
              <w:noBreakHyphen/>
              <w:t>chloropropane</w:t>
            </w:r>
          </w:p>
        </w:tc>
        <w:tc>
          <w:tcPr>
            <w:tcW w:w="2280" w:type="dxa"/>
          </w:tcPr>
          <w:p w14:paraId="61821D8B" w14:textId="77777777" w:rsidR="00CC5A17" w:rsidRPr="00CC5A17" w:rsidRDefault="00CC5A17" w:rsidP="003A782C">
            <w:pPr>
              <w:spacing w:before="0"/>
              <w:rPr>
                <w:rFonts w:cs="Arial"/>
              </w:rPr>
            </w:pPr>
          </w:p>
        </w:tc>
        <w:tc>
          <w:tcPr>
            <w:tcW w:w="3596" w:type="dxa"/>
          </w:tcPr>
          <w:p w14:paraId="61821D8C" w14:textId="77777777" w:rsidR="00CC5A17" w:rsidRPr="00CC5A17" w:rsidRDefault="00CC5A17" w:rsidP="003A782C">
            <w:pPr>
              <w:spacing w:before="0"/>
              <w:jc w:val="left"/>
              <w:rPr>
                <w:rFonts w:cs="Arial"/>
              </w:rPr>
            </w:pPr>
          </w:p>
        </w:tc>
      </w:tr>
      <w:tr w:rsidR="0059373B" w14:paraId="61821D91" w14:textId="77777777" w:rsidTr="003A782C">
        <w:trPr>
          <w:cantSplit/>
        </w:trPr>
        <w:tc>
          <w:tcPr>
            <w:tcW w:w="3480" w:type="dxa"/>
          </w:tcPr>
          <w:p w14:paraId="61821D8E" w14:textId="77777777" w:rsidR="00CC5A17" w:rsidRPr="00CC5A17" w:rsidRDefault="00E9069F" w:rsidP="003A782C">
            <w:pPr>
              <w:spacing w:before="0"/>
              <w:rPr>
                <w:rFonts w:cs="Arial"/>
              </w:rPr>
            </w:pPr>
            <w:r w:rsidRPr="00CC5A17">
              <w:rPr>
                <w:rFonts w:cs="Arial"/>
              </w:rPr>
              <w:t>1</w:t>
            </w:r>
            <w:r w:rsidRPr="00CC5A17">
              <w:rPr>
                <w:rFonts w:cs="Arial"/>
              </w:rPr>
              <w:noBreakHyphen/>
              <w:t>Phenyl</w:t>
            </w:r>
            <w:r w:rsidRPr="00CC5A17">
              <w:rPr>
                <w:rFonts w:cs="Arial"/>
              </w:rPr>
              <w:noBreakHyphen/>
              <w:t>2</w:t>
            </w:r>
            <w:r w:rsidRPr="00CC5A17">
              <w:rPr>
                <w:rFonts w:cs="Arial"/>
              </w:rPr>
              <w:noBreakHyphen/>
              <w:t>nitropropene</w:t>
            </w:r>
          </w:p>
        </w:tc>
        <w:tc>
          <w:tcPr>
            <w:tcW w:w="2280" w:type="dxa"/>
          </w:tcPr>
          <w:p w14:paraId="61821D8F" w14:textId="77777777" w:rsidR="00CC5A17" w:rsidRPr="00CC5A17" w:rsidRDefault="00CC5A17" w:rsidP="003A782C">
            <w:pPr>
              <w:spacing w:before="0"/>
              <w:rPr>
                <w:rFonts w:cs="Arial"/>
              </w:rPr>
            </w:pPr>
          </w:p>
        </w:tc>
        <w:tc>
          <w:tcPr>
            <w:tcW w:w="3596" w:type="dxa"/>
          </w:tcPr>
          <w:p w14:paraId="61821D90" w14:textId="77777777" w:rsidR="00CC5A17" w:rsidRPr="00CC5A17" w:rsidRDefault="00CC5A17" w:rsidP="003A782C">
            <w:pPr>
              <w:spacing w:before="0"/>
              <w:jc w:val="left"/>
              <w:rPr>
                <w:rFonts w:cs="Arial"/>
              </w:rPr>
            </w:pPr>
          </w:p>
        </w:tc>
      </w:tr>
      <w:tr w:rsidR="0059373B" w14:paraId="61821D95" w14:textId="77777777" w:rsidTr="003A782C">
        <w:trPr>
          <w:cantSplit/>
        </w:trPr>
        <w:tc>
          <w:tcPr>
            <w:tcW w:w="3480" w:type="dxa"/>
          </w:tcPr>
          <w:p w14:paraId="61821D92" w14:textId="77777777" w:rsidR="00CC5A17" w:rsidRPr="00CC5A17" w:rsidRDefault="00E9069F" w:rsidP="003A782C">
            <w:pPr>
              <w:spacing w:before="0"/>
              <w:rPr>
                <w:rFonts w:cs="Arial"/>
              </w:rPr>
            </w:pPr>
            <w:r w:rsidRPr="00CC5A17">
              <w:rPr>
                <w:rFonts w:cs="Arial"/>
              </w:rPr>
              <w:t>Phenylpropanolamine</w:t>
            </w:r>
          </w:p>
        </w:tc>
        <w:tc>
          <w:tcPr>
            <w:tcW w:w="2280" w:type="dxa"/>
          </w:tcPr>
          <w:p w14:paraId="61821D93" w14:textId="77777777" w:rsidR="00CC5A17" w:rsidRPr="00CC5A17" w:rsidRDefault="00E9069F" w:rsidP="003A782C">
            <w:pPr>
              <w:spacing w:before="0"/>
              <w:rPr>
                <w:rFonts w:cs="Arial"/>
              </w:rPr>
            </w:pPr>
            <w:r w:rsidRPr="00CC5A17">
              <w:rPr>
                <w:rFonts w:cs="Arial"/>
              </w:rPr>
              <w:t>Norephedrine</w:t>
            </w:r>
          </w:p>
        </w:tc>
        <w:tc>
          <w:tcPr>
            <w:tcW w:w="3596" w:type="dxa"/>
          </w:tcPr>
          <w:p w14:paraId="61821D94" w14:textId="77777777" w:rsidR="00CC5A17" w:rsidRPr="00CC5A17" w:rsidRDefault="00CC5A17" w:rsidP="003A782C">
            <w:pPr>
              <w:spacing w:before="0"/>
              <w:jc w:val="left"/>
              <w:rPr>
                <w:rFonts w:cs="Arial"/>
              </w:rPr>
            </w:pPr>
          </w:p>
        </w:tc>
      </w:tr>
      <w:tr w:rsidR="0059373B" w14:paraId="61821D99" w14:textId="77777777" w:rsidTr="003A782C">
        <w:trPr>
          <w:cantSplit/>
        </w:trPr>
        <w:tc>
          <w:tcPr>
            <w:tcW w:w="3480" w:type="dxa"/>
          </w:tcPr>
          <w:p w14:paraId="61821D96" w14:textId="77777777" w:rsidR="00CC5A17" w:rsidRPr="00CC5A17" w:rsidRDefault="00E9069F" w:rsidP="003A782C">
            <w:pPr>
              <w:spacing w:before="0"/>
              <w:rPr>
                <w:rFonts w:cs="Arial"/>
              </w:rPr>
            </w:pPr>
            <w:r w:rsidRPr="00CC5A17">
              <w:rPr>
                <w:rFonts w:cs="Arial"/>
              </w:rPr>
              <w:t>1</w:t>
            </w:r>
            <w:r w:rsidRPr="00CC5A17">
              <w:rPr>
                <w:rFonts w:cs="Arial"/>
              </w:rPr>
              <w:noBreakHyphen/>
              <w:t>Phenyl</w:t>
            </w:r>
            <w:r w:rsidRPr="00CC5A17">
              <w:rPr>
                <w:rFonts w:cs="Arial"/>
              </w:rPr>
              <w:noBreakHyphen/>
              <w:t>1</w:t>
            </w:r>
            <w:r w:rsidRPr="00CC5A17">
              <w:rPr>
                <w:rFonts w:cs="Arial"/>
              </w:rPr>
              <w:noBreakHyphen/>
              <w:t xml:space="preserve">Propanone </w:t>
            </w:r>
          </w:p>
        </w:tc>
        <w:tc>
          <w:tcPr>
            <w:tcW w:w="2280" w:type="dxa"/>
          </w:tcPr>
          <w:p w14:paraId="61821D97" w14:textId="77777777" w:rsidR="00CC5A17" w:rsidRPr="00CC5A17" w:rsidRDefault="00E9069F" w:rsidP="003A782C">
            <w:pPr>
              <w:spacing w:before="0"/>
              <w:rPr>
                <w:rFonts w:cs="Arial"/>
              </w:rPr>
            </w:pPr>
            <w:proofErr w:type="spellStart"/>
            <w:r w:rsidRPr="00CC5A17">
              <w:rPr>
                <w:rFonts w:cs="Arial"/>
              </w:rPr>
              <w:t>Phenylethylketone</w:t>
            </w:r>
            <w:proofErr w:type="spellEnd"/>
            <w:r w:rsidRPr="00CC5A17">
              <w:rPr>
                <w:rFonts w:cs="Arial"/>
              </w:rPr>
              <w:t xml:space="preserve"> Propiophenone</w:t>
            </w:r>
          </w:p>
        </w:tc>
        <w:tc>
          <w:tcPr>
            <w:tcW w:w="3596" w:type="dxa"/>
          </w:tcPr>
          <w:p w14:paraId="61821D98" w14:textId="77777777" w:rsidR="00CC5A17" w:rsidRPr="00CC5A17" w:rsidRDefault="00CC5A17" w:rsidP="003A782C">
            <w:pPr>
              <w:spacing w:before="0"/>
              <w:jc w:val="left"/>
              <w:rPr>
                <w:rFonts w:cs="Arial"/>
              </w:rPr>
            </w:pPr>
          </w:p>
        </w:tc>
      </w:tr>
      <w:tr w:rsidR="0059373B" w14:paraId="61821D9D" w14:textId="77777777" w:rsidTr="003A782C">
        <w:trPr>
          <w:cantSplit/>
        </w:trPr>
        <w:tc>
          <w:tcPr>
            <w:tcW w:w="3480" w:type="dxa"/>
          </w:tcPr>
          <w:p w14:paraId="61821D9A" w14:textId="77777777" w:rsidR="00CC5A17" w:rsidRPr="00CC5A17" w:rsidRDefault="00E9069F" w:rsidP="003A782C">
            <w:pPr>
              <w:spacing w:before="0"/>
              <w:rPr>
                <w:rFonts w:cs="Arial"/>
              </w:rPr>
            </w:pPr>
            <w:r w:rsidRPr="00CC5A17">
              <w:rPr>
                <w:rFonts w:cs="Arial"/>
              </w:rPr>
              <w:t>1</w:t>
            </w:r>
            <w:r w:rsidRPr="00CC5A17">
              <w:rPr>
                <w:rFonts w:cs="Arial"/>
              </w:rPr>
              <w:noBreakHyphen/>
              <w:t>Phenyl</w:t>
            </w:r>
            <w:r w:rsidRPr="00CC5A17">
              <w:rPr>
                <w:rFonts w:cs="Arial"/>
              </w:rPr>
              <w:noBreakHyphen/>
              <w:t>2</w:t>
            </w:r>
            <w:r w:rsidRPr="00CC5A17">
              <w:rPr>
                <w:rFonts w:cs="Arial"/>
              </w:rPr>
              <w:noBreakHyphen/>
              <w:t xml:space="preserve">propanone </w:t>
            </w:r>
          </w:p>
        </w:tc>
        <w:tc>
          <w:tcPr>
            <w:tcW w:w="2280" w:type="dxa"/>
          </w:tcPr>
          <w:p w14:paraId="61821D9B" w14:textId="77777777" w:rsidR="00CC5A17" w:rsidRPr="00CC5A17" w:rsidRDefault="00E9069F" w:rsidP="003A782C">
            <w:pPr>
              <w:spacing w:before="0"/>
              <w:rPr>
                <w:rFonts w:cs="Arial"/>
              </w:rPr>
            </w:pPr>
            <w:r w:rsidRPr="00CC5A17">
              <w:rPr>
                <w:rFonts w:cs="Arial"/>
              </w:rPr>
              <w:t>Benzyl methyl ketone Phenylacetone</w:t>
            </w:r>
          </w:p>
        </w:tc>
        <w:tc>
          <w:tcPr>
            <w:tcW w:w="3596" w:type="dxa"/>
          </w:tcPr>
          <w:p w14:paraId="61821D9C" w14:textId="77777777" w:rsidR="00CC5A17" w:rsidRPr="00CC5A17" w:rsidRDefault="00E9069F" w:rsidP="003A782C">
            <w:pPr>
              <w:spacing w:before="0"/>
              <w:jc w:val="left"/>
              <w:rPr>
                <w:rFonts w:cs="Arial"/>
              </w:rPr>
            </w:pPr>
            <w:r w:rsidRPr="00CC5A17">
              <w:rPr>
                <w:rFonts w:cs="Arial"/>
              </w:rPr>
              <w:t>39 g</w:t>
            </w:r>
          </w:p>
        </w:tc>
      </w:tr>
      <w:tr w:rsidR="0059373B" w14:paraId="61821DA1" w14:textId="77777777" w:rsidTr="003A782C">
        <w:trPr>
          <w:cantSplit/>
        </w:trPr>
        <w:tc>
          <w:tcPr>
            <w:tcW w:w="3480" w:type="dxa"/>
          </w:tcPr>
          <w:p w14:paraId="61821D9E" w14:textId="77777777" w:rsidR="00CC5A17" w:rsidRPr="00CC5A17" w:rsidRDefault="00E9069F" w:rsidP="003A782C">
            <w:pPr>
              <w:spacing w:before="0"/>
              <w:rPr>
                <w:rFonts w:cs="Arial"/>
              </w:rPr>
            </w:pPr>
            <w:r w:rsidRPr="00CC5A17">
              <w:rPr>
                <w:rFonts w:cs="Arial"/>
              </w:rPr>
              <w:t>1</w:t>
            </w:r>
            <w:r w:rsidRPr="00CC5A17">
              <w:rPr>
                <w:rFonts w:cs="Arial"/>
              </w:rPr>
              <w:noBreakHyphen/>
              <w:t>Phenyl</w:t>
            </w:r>
            <w:r w:rsidRPr="00CC5A17">
              <w:rPr>
                <w:rFonts w:cs="Arial"/>
              </w:rPr>
              <w:noBreakHyphen/>
              <w:t>2</w:t>
            </w:r>
            <w:r w:rsidRPr="00CC5A17">
              <w:rPr>
                <w:rFonts w:cs="Arial"/>
              </w:rPr>
              <w:noBreakHyphen/>
              <w:t>propanone oxime</w:t>
            </w:r>
          </w:p>
        </w:tc>
        <w:tc>
          <w:tcPr>
            <w:tcW w:w="2280" w:type="dxa"/>
          </w:tcPr>
          <w:p w14:paraId="61821D9F" w14:textId="77777777" w:rsidR="00CC5A17" w:rsidRPr="00CC5A17" w:rsidRDefault="00CC5A17" w:rsidP="003A782C">
            <w:pPr>
              <w:spacing w:before="0"/>
              <w:rPr>
                <w:rFonts w:cs="Arial"/>
              </w:rPr>
            </w:pPr>
          </w:p>
        </w:tc>
        <w:tc>
          <w:tcPr>
            <w:tcW w:w="3596" w:type="dxa"/>
          </w:tcPr>
          <w:p w14:paraId="61821DA0" w14:textId="77777777" w:rsidR="00CC5A17" w:rsidRPr="00CC5A17" w:rsidRDefault="00CC5A17" w:rsidP="003A782C">
            <w:pPr>
              <w:spacing w:before="0"/>
              <w:jc w:val="left"/>
              <w:rPr>
                <w:rFonts w:cs="Arial"/>
              </w:rPr>
            </w:pPr>
          </w:p>
        </w:tc>
      </w:tr>
      <w:tr w:rsidR="0059373B" w14:paraId="61821DA5" w14:textId="77777777" w:rsidTr="003A782C">
        <w:trPr>
          <w:cantSplit/>
        </w:trPr>
        <w:tc>
          <w:tcPr>
            <w:tcW w:w="3480" w:type="dxa"/>
          </w:tcPr>
          <w:p w14:paraId="61821DA2" w14:textId="77777777" w:rsidR="00CC5A17" w:rsidRPr="00CC5A17" w:rsidRDefault="00E9069F" w:rsidP="003A782C">
            <w:pPr>
              <w:spacing w:before="0"/>
              <w:rPr>
                <w:rFonts w:cs="Arial"/>
              </w:rPr>
            </w:pPr>
            <w:r w:rsidRPr="00CC5A17">
              <w:rPr>
                <w:rFonts w:cs="Arial"/>
              </w:rPr>
              <w:t>1</w:t>
            </w:r>
            <w:r w:rsidRPr="00CC5A17">
              <w:rPr>
                <w:rFonts w:cs="Arial"/>
              </w:rPr>
              <w:noBreakHyphen/>
              <w:t>Phenyl</w:t>
            </w:r>
            <w:r w:rsidRPr="00CC5A17">
              <w:rPr>
                <w:rFonts w:cs="Arial"/>
              </w:rPr>
              <w:noBreakHyphen/>
              <w:t>2</w:t>
            </w:r>
            <w:r w:rsidRPr="00CC5A17">
              <w:rPr>
                <w:rFonts w:cs="Arial"/>
              </w:rPr>
              <w:noBreakHyphen/>
              <w:t>propanol</w:t>
            </w:r>
          </w:p>
        </w:tc>
        <w:tc>
          <w:tcPr>
            <w:tcW w:w="2280" w:type="dxa"/>
          </w:tcPr>
          <w:p w14:paraId="61821DA3" w14:textId="77777777" w:rsidR="00CC5A17" w:rsidRPr="00CC5A17" w:rsidRDefault="00CC5A17" w:rsidP="003A782C">
            <w:pPr>
              <w:spacing w:before="0"/>
              <w:rPr>
                <w:rFonts w:cs="Arial"/>
              </w:rPr>
            </w:pPr>
          </w:p>
        </w:tc>
        <w:tc>
          <w:tcPr>
            <w:tcW w:w="3596" w:type="dxa"/>
          </w:tcPr>
          <w:p w14:paraId="61821DA4" w14:textId="77777777" w:rsidR="00CC5A17" w:rsidRPr="00CC5A17" w:rsidRDefault="00CC5A17" w:rsidP="003A782C">
            <w:pPr>
              <w:spacing w:before="0"/>
              <w:jc w:val="left"/>
              <w:rPr>
                <w:rFonts w:cs="Arial"/>
              </w:rPr>
            </w:pPr>
          </w:p>
        </w:tc>
      </w:tr>
      <w:tr w:rsidR="0059373B" w14:paraId="61821DA9" w14:textId="77777777" w:rsidTr="003A782C">
        <w:trPr>
          <w:cantSplit/>
        </w:trPr>
        <w:tc>
          <w:tcPr>
            <w:tcW w:w="3480" w:type="dxa"/>
          </w:tcPr>
          <w:p w14:paraId="61821DA6" w14:textId="77777777" w:rsidR="00CC5A17" w:rsidRPr="00CC5A17" w:rsidRDefault="00E9069F" w:rsidP="003A782C">
            <w:pPr>
              <w:spacing w:before="0"/>
              <w:rPr>
                <w:rFonts w:cs="Arial"/>
              </w:rPr>
            </w:pPr>
            <w:r w:rsidRPr="00CC5A17">
              <w:rPr>
                <w:rFonts w:cs="Arial"/>
              </w:rPr>
              <w:t>Phosphorus red/white</w:t>
            </w:r>
          </w:p>
        </w:tc>
        <w:tc>
          <w:tcPr>
            <w:tcW w:w="2280" w:type="dxa"/>
          </w:tcPr>
          <w:p w14:paraId="61821DA7" w14:textId="77777777" w:rsidR="00CC5A17" w:rsidRPr="00CC5A17" w:rsidRDefault="00CC5A17" w:rsidP="003A782C">
            <w:pPr>
              <w:spacing w:before="0"/>
              <w:rPr>
                <w:rFonts w:cs="Arial"/>
              </w:rPr>
            </w:pPr>
          </w:p>
        </w:tc>
        <w:tc>
          <w:tcPr>
            <w:tcW w:w="3596" w:type="dxa"/>
          </w:tcPr>
          <w:p w14:paraId="61821DA8" w14:textId="77777777" w:rsidR="00CC5A17" w:rsidRPr="00CC5A17" w:rsidRDefault="00E9069F" w:rsidP="003A782C">
            <w:pPr>
              <w:spacing w:before="0"/>
              <w:jc w:val="left"/>
              <w:rPr>
                <w:rFonts w:cs="Arial"/>
              </w:rPr>
            </w:pPr>
            <w:r w:rsidRPr="00CC5A17">
              <w:rPr>
                <w:rFonts w:cs="Arial"/>
              </w:rPr>
              <w:t>19 g</w:t>
            </w:r>
          </w:p>
        </w:tc>
      </w:tr>
      <w:tr w:rsidR="0059373B" w14:paraId="61821DAD" w14:textId="77777777" w:rsidTr="003A782C">
        <w:trPr>
          <w:cantSplit/>
        </w:trPr>
        <w:tc>
          <w:tcPr>
            <w:tcW w:w="3480" w:type="dxa"/>
          </w:tcPr>
          <w:p w14:paraId="61821DAA" w14:textId="77777777" w:rsidR="00CC5A17" w:rsidRPr="00CC5A17" w:rsidRDefault="00E9069F" w:rsidP="003A782C">
            <w:pPr>
              <w:spacing w:before="0"/>
              <w:rPr>
                <w:rFonts w:cs="Arial"/>
              </w:rPr>
            </w:pPr>
            <w:r w:rsidRPr="00CC5A17">
              <w:rPr>
                <w:rFonts w:cs="Arial"/>
              </w:rPr>
              <w:t>Phosphorous acid</w:t>
            </w:r>
          </w:p>
        </w:tc>
        <w:tc>
          <w:tcPr>
            <w:tcW w:w="2280" w:type="dxa"/>
          </w:tcPr>
          <w:p w14:paraId="61821DAB" w14:textId="77777777" w:rsidR="00CC5A17" w:rsidRPr="00CC5A17" w:rsidRDefault="00E9069F" w:rsidP="003A782C">
            <w:pPr>
              <w:spacing w:before="0"/>
              <w:rPr>
                <w:rFonts w:cs="Arial"/>
              </w:rPr>
            </w:pPr>
            <w:r w:rsidRPr="00CC5A17">
              <w:rPr>
                <w:rFonts w:cs="Arial"/>
              </w:rPr>
              <w:t>Phosphonic Acid</w:t>
            </w:r>
          </w:p>
        </w:tc>
        <w:tc>
          <w:tcPr>
            <w:tcW w:w="3596" w:type="dxa"/>
          </w:tcPr>
          <w:p w14:paraId="61821DAC" w14:textId="77777777" w:rsidR="00CC5A17" w:rsidRPr="00CC5A17" w:rsidRDefault="00CC5A17" w:rsidP="003A782C">
            <w:pPr>
              <w:spacing w:before="0"/>
              <w:jc w:val="left"/>
              <w:rPr>
                <w:rFonts w:cs="Arial"/>
              </w:rPr>
            </w:pPr>
          </w:p>
        </w:tc>
      </w:tr>
      <w:tr w:rsidR="0059373B" w14:paraId="61821DB1" w14:textId="77777777" w:rsidTr="003A782C">
        <w:trPr>
          <w:cantSplit/>
        </w:trPr>
        <w:tc>
          <w:tcPr>
            <w:tcW w:w="3480" w:type="dxa"/>
          </w:tcPr>
          <w:p w14:paraId="61821DAE" w14:textId="77777777" w:rsidR="00CC5A17" w:rsidRPr="00CC5A17" w:rsidRDefault="00E9069F" w:rsidP="003A782C">
            <w:pPr>
              <w:spacing w:before="0"/>
              <w:rPr>
                <w:rFonts w:cs="Arial"/>
              </w:rPr>
            </w:pPr>
            <w:r w:rsidRPr="00CC5A17">
              <w:rPr>
                <w:rFonts w:cs="Arial"/>
              </w:rPr>
              <w:t>Pseudoephedrine (including salts)</w:t>
            </w:r>
          </w:p>
        </w:tc>
        <w:tc>
          <w:tcPr>
            <w:tcW w:w="2280" w:type="dxa"/>
          </w:tcPr>
          <w:p w14:paraId="61821DAF" w14:textId="77777777" w:rsidR="00CC5A17" w:rsidRPr="00CC5A17" w:rsidRDefault="00CC5A17" w:rsidP="003A782C">
            <w:pPr>
              <w:spacing w:before="0"/>
              <w:rPr>
                <w:rFonts w:cs="Arial"/>
              </w:rPr>
            </w:pPr>
          </w:p>
        </w:tc>
        <w:tc>
          <w:tcPr>
            <w:tcW w:w="3596" w:type="dxa"/>
          </w:tcPr>
          <w:p w14:paraId="61821DB0" w14:textId="77777777" w:rsidR="00CC5A17" w:rsidRPr="00CC5A17" w:rsidRDefault="00E9069F" w:rsidP="003A782C">
            <w:pPr>
              <w:spacing w:before="0"/>
              <w:jc w:val="left"/>
              <w:rPr>
                <w:rFonts w:cs="Arial"/>
              </w:rPr>
            </w:pPr>
            <w:r w:rsidRPr="00CC5A17">
              <w:rPr>
                <w:rFonts w:cs="Arial"/>
              </w:rPr>
              <w:t>37 g</w:t>
            </w:r>
          </w:p>
        </w:tc>
      </w:tr>
      <w:tr w:rsidR="0059373B" w14:paraId="61821DB5" w14:textId="77777777" w:rsidTr="003A782C">
        <w:trPr>
          <w:cantSplit/>
        </w:trPr>
        <w:tc>
          <w:tcPr>
            <w:tcW w:w="3480" w:type="dxa"/>
          </w:tcPr>
          <w:p w14:paraId="61821DB2" w14:textId="77777777" w:rsidR="00CC5A17" w:rsidRPr="00CC5A17" w:rsidRDefault="00E9069F" w:rsidP="003A782C">
            <w:pPr>
              <w:spacing w:before="0"/>
              <w:rPr>
                <w:rFonts w:cs="Arial"/>
              </w:rPr>
            </w:pPr>
            <w:r w:rsidRPr="00CC5A17">
              <w:rPr>
                <w:rFonts w:cs="Arial"/>
              </w:rPr>
              <w:t>Pyridine</w:t>
            </w:r>
          </w:p>
        </w:tc>
        <w:tc>
          <w:tcPr>
            <w:tcW w:w="2280" w:type="dxa"/>
          </w:tcPr>
          <w:p w14:paraId="61821DB3" w14:textId="77777777" w:rsidR="00CC5A17" w:rsidRPr="00CC5A17" w:rsidRDefault="00CC5A17" w:rsidP="003A782C">
            <w:pPr>
              <w:spacing w:before="0"/>
              <w:rPr>
                <w:rFonts w:cs="Arial"/>
              </w:rPr>
            </w:pPr>
          </w:p>
        </w:tc>
        <w:tc>
          <w:tcPr>
            <w:tcW w:w="3596" w:type="dxa"/>
          </w:tcPr>
          <w:p w14:paraId="61821DB4" w14:textId="77777777" w:rsidR="00CC5A17" w:rsidRPr="00CC5A17" w:rsidRDefault="00CC5A17" w:rsidP="003A782C">
            <w:pPr>
              <w:spacing w:before="0"/>
              <w:jc w:val="left"/>
              <w:rPr>
                <w:rFonts w:cs="Arial"/>
              </w:rPr>
            </w:pPr>
          </w:p>
        </w:tc>
      </w:tr>
    </w:tbl>
    <w:p w14:paraId="61821DB7" w14:textId="0C7A90EA" w:rsidR="00CC5A17" w:rsidRPr="00CC5A17" w:rsidRDefault="00E9069F" w:rsidP="003A782C">
      <w:pPr>
        <w:rPr>
          <w:rFonts w:cs="Arial"/>
          <w:i/>
        </w:rPr>
      </w:pPr>
      <w:r w:rsidRPr="00CC5A17">
        <w:rPr>
          <w:rFonts w:cs="Arial"/>
          <w:i/>
        </w:rPr>
        <w:tab/>
      </w:r>
      <w:bookmarkStart w:id="666" w:name="_Toc421523606"/>
      <w:bookmarkStart w:id="667" w:name="_Toc421523655"/>
      <w:r w:rsidRPr="00CC5A17">
        <w:rPr>
          <w:rFonts w:cs="Arial"/>
          <w:b/>
        </w:rPr>
        <w:t>Division 2</w:t>
      </w:r>
      <w:r w:rsidRPr="00CC5A17">
        <w:rPr>
          <w:rFonts w:cs="Arial"/>
        </w:rPr>
        <w:t> </w:t>
      </w:r>
      <w:r w:rsidRPr="00CC5A17">
        <w:rPr>
          <w:rFonts w:cs="Arial"/>
          <w:b/>
          <w:bCs/>
        </w:rPr>
        <w:t>— </w:t>
      </w:r>
      <w:r w:rsidRPr="00CC5A17">
        <w:rPr>
          <w:rFonts w:cs="Arial"/>
          <w:b/>
        </w:rPr>
        <w:t>Things</w:t>
      </w:r>
      <w:bookmarkEnd w:id="666"/>
      <w:bookmarkEnd w:id="667"/>
      <w:r w:rsidR="001B47DA">
        <w:rPr>
          <w:rFonts w:cs="Arial"/>
          <w:i/>
        </w:rPr>
        <w:br/>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rsidR="0059373B" w14:paraId="61821DBA" w14:textId="77777777" w:rsidTr="00CC5A17">
        <w:trPr>
          <w:tblHeader/>
        </w:trPr>
        <w:tc>
          <w:tcPr>
            <w:tcW w:w="912" w:type="dxa"/>
          </w:tcPr>
          <w:p w14:paraId="61821DB8" w14:textId="77777777" w:rsidR="00CC5A17" w:rsidRPr="00CC5A17" w:rsidRDefault="00E9069F" w:rsidP="003A782C">
            <w:pPr>
              <w:spacing w:before="0"/>
              <w:rPr>
                <w:rFonts w:cs="Arial"/>
                <w:b/>
                <w:bCs/>
              </w:rPr>
            </w:pPr>
            <w:r w:rsidRPr="00CC5A17">
              <w:rPr>
                <w:rFonts w:cs="Arial"/>
                <w:b/>
                <w:bCs/>
              </w:rPr>
              <w:t>Item</w:t>
            </w:r>
          </w:p>
        </w:tc>
        <w:tc>
          <w:tcPr>
            <w:tcW w:w="6213" w:type="dxa"/>
          </w:tcPr>
          <w:p w14:paraId="61821DB9" w14:textId="77777777" w:rsidR="00CC5A17" w:rsidRPr="00CC5A17" w:rsidRDefault="00E9069F" w:rsidP="003A782C">
            <w:pPr>
              <w:spacing w:before="0"/>
              <w:rPr>
                <w:rFonts w:cs="Arial"/>
                <w:b/>
                <w:bCs/>
              </w:rPr>
            </w:pPr>
            <w:r w:rsidRPr="00CC5A17">
              <w:rPr>
                <w:rFonts w:cs="Arial"/>
                <w:b/>
                <w:bCs/>
              </w:rPr>
              <w:t>Description</w:t>
            </w:r>
          </w:p>
        </w:tc>
      </w:tr>
      <w:tr w:rsidR="0059373B" w14:paraId="61821DBD" w14:textId="77777777" w:rsidTr="00CC5A17">
        <w:tc>
          <w:tcPr>
            <w:tcW w:w="912" w:type="dxa"/>
          </w:tcPr>
          <w:p w14:paraId="61821DBB" w14:textId="77777777" w:rsidR="00CC5A17" w:rsidRPr="00CC5A17" w:rsidRDefault="00E9069F" w:rsidP="003A782C">
            <w:pPr>
              <w:spacing w:before="0"/>
              <w:rPr>
                <w:rFonts w:cs="Arial"/>
              </w:rPr>
            </w:pPr>
            <w:r w:rsidRPr="00CC5A17">
              <w:rPr>
                <w:rFonts w:cs="Arial"/>
              </w:rPr>
              <w:t>1</w:t>
            </w:r>
          </w:p>
        </w:tc>
        <w:tc>
          <w:tcPr>
            <w:tcW w:w="6213" w:type="dxa"/>
          </w:tcPr>
          <w:p w14:paraId="61821DBC" w14:textId="77777777" w:rsidR="00CC5A17" w:rsidRPr="00CC5A17" w:rsidRDefault="00E9069F" w:rsidP="003A782C">
            <w:pPr>
              <w:spacing w:before="0"/>
              <w:rPr>
                <w:rFonts w:cs="Arial"/>
              </w:rPr>
            </w:pPr>
            <w:r w:rsidRPr="00CC5A17">
              <w:rPr>
                <w:rFonts w:cs="Arial"/>
              </w:rPr>
              <w:t>Any storage device containing ammonia gas where the mass of the storage device is less than one tonne.</w:t>
            </w:r>
          </w:p>
        </w:tc>
      </w:tr>
    </w:tbl>
    <w:p w14:paraId="61821DBE" w14:textId="77777777" w:rsidR="00CC5A17" w:rsidRPr="00CC5A17" w:rsidRDefault="00E9069F" w:rsidP="00CC5A17">
      <w:pPr>
        <w:rPr>
          <w:rFonts w:cs="Arial"/>
          <w:highlight w:val="yellow"/>
        </w:rPr>
      </w:pPr>
      <w:r w:rsidRPr="00CC5A17">
        <w:rPr>
          <w:rFonts w:cs="Arial"/>
          <w:i/>
        </w:rPr>
        <w:tab/>
      </w:r>
    </w:p>
    <w:p w14:paraId="61821DBF" w14:textId="55160CEA" w:rsidR="00CC5A17" w:rsidRPr="00F8039E" w:rsidRDefault="00D737C4" w:rsidP="005E44A4">
      <w:pPr>
        <w:pStyle w:val="Heading2"/>
      </w:pPr>
      <w:bookmarkStart w:id="668" w:name="_Toc19005619"/>
      <w:bookmarkStart w:id="669" w:name="_Toc101439055"/>
      <w:r>
        <w:t>2</w:t>
      </w:r>
      <w:r w:rsidR="00071384">
        <w:t>5</w:t>
      </w:r>
      <w:r w:rsidR="00E9069F">
        <w:t xml:space="preserve">.3   </w:t>
      </w:r>
      <w:r w:rsidR="00E9069F" w:rsidRPr="00F8039E">
        <w:t>Category 2 Items</w:t>
      </w:r>
      <w:r w:rsidR="00E9069F">
        <w:t xml:space="preserve"> and purchase controls</w:t>
      </w:r>
      <w:bookmarkEnd w:id="668"/>
      <w:bookmarkEnd w:id="669"/>
    </w:p>
    <w:p w14:paraId="61821DC0" w14:textId="77777777" w:rsidR="00CC5A17" w:rsidRDefault="00E9069F" w:rsidP="00CC5A17">
      <w:r w:rsidRPr="00F8039E">
        <w:t xml:space="preserve">Category </w:t>
      </w:r>
      <w:r w:rsidR="00142B86">
        <w:t>2</w:t>
      </w:r>
      <w:r w:rsidRPr="00F8039E">
        <w:t xml:space="preserve"> items (substances and </w:t>
      </w:r>
      <w:r w:rsidR="00142B86">
        <w:t>things) are listed in Schedule 4</w:t>
      </w:r>
      <w:r w:rsidRPr="00F8039E">
        <w:t xml:space="preserve"> of the Misuse</w:t>
      </w:r>
      <w:r>
        <w:t xml:space="preserve"> of Drugs Act Regulation</w:t>
      </w:r>
      <w:r w:rsidR="003A1352">
        <w:t>s 1982. Purchasers of Category 2</w:t>
      </w:r>
      <w:r>
        <w:t xml:space="preserve"> items will be required to either hold an account with the supplier and provide a written order for the item or alternatively fill out an end user declaration and provide evidence of identity on order and receipt of the item. Copies of end user declarations for Category 2 items will be provided to the Commissioner of Police as soon as practicable.</w:t>
      </w:r>
    </w:p>
    <w:p w14:paraId="61821DC1" w14:textId="0AAC4936" w:rsidR="00142B86" w:rsidRPr="00CC5A17" w:rsidRDefault="00E9069F" w:rsidP="00142B86">
      <w:pPr>
        <w:spacing w:after="160" w:line="259" w:lineRule="auto"/>
        <w:jc w:val="left"/>
        <w:rPr>
          <w:rFonts w:cs="Arial"/>
          <w:b/>
        </w:rPr>
      </w:pPr>
      <w:bookmarkStart w:id="670" w:name="_Toc18574535"/>
      <w:bookmarkStart w:id="671" w:name="_Toc99619997"/>
      <w:r>
        <w:rPr>
          <w:rFonts w:cs="Arial"/>
          <w:b/>
        </w:rPr>
        <w:t xml:space="preserve">Table </w:t>
      </w:r>
      <w:r w:rsidR="00E3271A" w:rsidRPr="00055286">
        <w:rPr>
          <w:rFonts w:eastAsia="Calibri" w:cs="Arial"/>
          <w:b/>
          <w:bCs/>
          <w:sz w:val="18"/>
          <w:szCs w:val="18"/>
          <w:lang w:val="en-US" w:eastAsia="en-US"/>
        </w:rPr>
        <w:fldChar w:fldCharType="begin"/>
      </w:r>
      <w:r w:rsidR="00E3271A" w:rsidRPr="003A782C">
        <w:rPr>
          <w:rFonts w:cs="Arial"/>
          <w:b/>
        </w:rPr>
        <w:instrText xml:space="preserve"> SEQ Table \* ARABIC </w:instrText>
      </w:r>
      <w:r w:rsidR="00E3271A" w:rsidRPr="00055286">
        <w:rPr>
          <w:rFonts w:eastAsia="Calibri" w:cs="Arial"/>
          <w:b/>
          <w:bCs/>
          <w:sz w:val="18"/>
          <w:szCs w:val="18"/>
          <w:lang w:val="en-US" w:eastAsia="en-US"/>
        </w:rPr>
        <w:fldChar w:fldCharType="separate"/>
      </w:r>
      <w:r w:rsidR="00BC0589">
        <w:rPr>
          <w:rFonts w:cs="Arial"/>
          <w:b/>
          <w:noProof/>
        </w:rPr>
        <w:t>10</w:t>
      </w:r>
      <w:r w:rsidR="00E3271A" w:rsidRPr="00055286">
        <w:rPr>
          <w:rFonts w:eastAsia="Calibri" w:cs="Arial"/>
          <w:b/>
          <w:bCs/>
          <w:sz w:val="18"/>
          <w:szCs w:val="18"/>
          <w:lang w:val="en-US" w:eastAsia="en-US"/>
        </w:rPr>
        <w:fldChar w:fldCharType="end"/>
      </w:r>
      <w:r w:rsidR="00E3271A">
        <w:rPr>
          <w:rFonts w:cs="Arial"/>
          <w:b/>
        </w:rPr>
        <w:t xml:space="preserve">: </w:t>
      </w:r>
      <w:r>
        <w:rPr>
          <w:rFonts w:cs="Arial"/>
          <w:b/>
        </w:rPr>
        <w:t>Category 2</w:t>
      </w:r>
      <w:r w:rsidRPr="00CC5A17">
        <w:rPr>
          <w:rFonts w:cs="Arial"/>
          <w:b/>
        </w:rPr>
        <w:t xml:space="preserve"> items</w:t>
      </w:r>
      <w:r>
        <w:rPr>
          <w:rFonts w:cs="Arial"/>
          <w:b/>
        </w:rPr>
        <w:t xml:space="preserve"> </w:t>
      </w:r>
      <w:r w:rsidRPr="00142B86">
        <w:rPr>
          <w:rFonts w:cs="Arial"/>
          <w:b/>
        </w:rPr>
        <w:t xml:space="preserve">under the </w:t>
      </w:r>
      <w:r w:rsidRPr="00142B86">
        <w:rPr>
          <w:b/>
        </w:rPr>
        <w:t>Misuse of Drugs Act Regulations 1982</w:t>
      </w:r>
      <w:r>
        <w:rPr>
          <w:b/>
        </w:rPr>
        <w:t>, Schedule 4.</w:t>
      </w:r>
      <w:bookmarkEnd w:id="670"/>
      <w:bookmarkEnd w:id="671"/>
    </w:p>
    <w:p w14:paraId="61821DC2" w14:textId="77777777" w:rsidR="00CC5A17" w:rsidRPr="00A453D8" w:rsidRDefault="00E9069F" w:rsidP="00CC5A17">
      <w:pPr>
        <w:spacing w:before="0" w:after="160" w:line="259" w:lineRule="auto"/>
        <w:jc w:val="left"/>
        <w:rPr>
          <w:b/>
        </w:rPr>
      </w:pPr>
      <w:r w:rsidRPr="00A453D8">
        <w:rPr>
          <w:i/>
        </w:rPr>
        <w:tab/>
      </w:r>
      <w:bookmarkStart w:id="672" w:name="_Toc421523608"/>
      <w:bookmarkStart w:id="673" w:name="_Toc421523657"/>
      <w:r w:rsidRPr="00A453D8">
        <w:rPr>
          <w:b/>
        </w:rPr>
        <w:t>Division 1</w:t>
      </w:r>
      <w:r w:rsidRPr="00A453D8">
        <w:t> — </w:t>
      </w:r>
      <w:r w:rsidRPr="00A453D8">
        <w:rPr>
          <w:b/>
        </w:rPr>
        <w:t>Substances</w:t>
      </w:r>
      <w:bookmarkEnd w:id="672"/>
      <w:bookmarkEnd w:id="673"/>
    </w:p>
    <w:tbl>
      <w:tblPr>
        <w:tblW w:w="9700" w:type="dxa"/>
        <w:tblInd w:w="57" w:type="dxa"/>
        <w:tblBorders>
          <w:top w:val="single" w:sz="4" w:space="0" w:color="auto"/>
          <w:bottom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261"/>
        <w:gridCol w:w="2494"/>
        <w:gridCol w:w="3945"/>
      </w:tblGrid>
      <w:tr w:rsidR="0059373B" w14:paraId="61821DC6" w14:textId="77777777" w:rsidTr="003A782C">
        <w:trPr>
          <w:cantSplit/>
          <w:tblHeader/>
        </w:trPr>
        <w:tc>
          <w:tcPr>
            <w:tcW w:w="3261" w:type="dxa"/>
          </w:tcPr>
          <w:p w14:paraId="61821DC3" w14:textId="72530A0F" w:rsidR="00CC5A17" w:rsidRPr="00A453D8" w:rsidRDefault="00E9069F" w:rsidP="003A782C">
            <w:pPr>
              <w:spacing w:before="0"/>
              <w:jc w:val="left"/>
              <w:rPr>
                <w:b/>
              </w:rPr>
            </w:pPr>
            <w:r w:rsidRPr="009779C2">
              <w:rPr>
                <w:rFonts w:cs="Arial"/>
                <w:b/>
              </w:rPr>
              <w:t>Chemical</w:t>
            </w:r>
            <w:r w:rsidRPr="00A453D8">
              <w:rPr>
                <w:b/>
              </w:rPr>
              <w:t xml:space="preserve"> name</w:t>
            </w:r>
          </w:p>
        </w:tc>
        <w:tc>
          <w:tcPr>
            <w:tcW w:w="2494" w:type="dxa"/>
          </w:tcPr>
          <w:p w14:paraId="61821DC4" w14:textId="77777777" w:rsidR="00CC5A17" w:rsidRPr="00A453D8" w:rsidRDefault="00E9069F" w:rsidP="003A782C">
            <w:pPr>
              <w:spacing w:before="0" w:line="259" w:lineRule="auto"/>
              <w:jc w:val="left"/>
              <w:rPr>
                <w:b/>
              </w:rPr>
            </w:pPr>
            <w:r w:rsidRPr="00A453D8">
              <w:rPr>
                <w:b/>
              </w:rPr>
              <w:t>Alternate name</w:t>
            </w:r>
          </w:p>
        </w:tc>
        <w:tc>
          <w:tcPr>
            <w:tcW w:w="3945" w:type="dxa"/>
          </w:tcPr>
          <w:p w14:paraId="61821DC5" w14:textId="77777777" w:rsidR="00CC5A17" w:rsidRPr="00A453D8" w:rsidRDefault="00E9069F" w:rsidP="003A782C">
            <w:pPr>
              <w:spacing w:before="0" w:line="259" w:lineRule="auto"/>
              <w:jc w:val="left"/>
              <w:rPr>
                <w:b/>
              </w:rPr>
            </w:pPr>
            <w:r w:rsidRPr="00A453D8">
              <w:rPr>
                <w:b/>
              </w:rPr>
              <w:t>Quantity of substance in seized sample</w:t>
            </w:r>
          </w:p>
        </w:tc>
      </w:tr>
      <w:tr w:rsidR="0059373B" w14:paraId="61821DCA" w14:textId="77777777" w:rsidTr="003A782C">
        <w:trPr>
          <w:cantSplit/>
          <w:trHeight w:hRule="exact" w:val="340"/>
        </w:trPr>
        <w:tc>
          <w:tcPr>
            <w:tcW w:w="3261" w:type="dxa"/>
          </w:tcPr>
          <w:p w14:paraId="61821DC7" w14:textId="77777777" w:rsidR="00CC5A17" w:rsidRPr="00A453D8" w:rsidRDefault="00E9069F" w:rsidP="003A782C">
            <w:pPr>
              <w:spacing w:before="0" w:line="259" w:lineRule="auto"/>
            </w:pPr>
            <w:r w:rsidRPr="00A453D8">
              <w:t>N</w:t>
            </w:r>
            <w:r w:rsidRPr="00A453D8">
              <w:noBreakHyphen/>
            </w:r>
            <w:proofErr w:type="spellStart"/>
            <w:r w:rsidRPr="00A453D8">
              <w:t>Acetylanthranilic</w:t>
            </w:r>
            <w:proofErr w:type="spellEnd"/>
            <w:r w:rsidRPr="00A453D8">
              <w:t xml:space="preserve"> acid</w:t>
            </w:r>
          </w:p>
        </w:tc>
        <w:tc>
          <w:tcPr>
            <w:tcW w:w="2494" w:type="dxa"/>
          </w:tcPr>
          <w:p w14:paraId="61821DC8" w14:textId="77777777" w:rsidR="00CC5A17" w:rsidRPr="00A453D8" w:rsidRDefault="00E9069F" w:rsidP="003A782C">
            <w:pPr>
              <w:spacing w:before="0" w:line="259" w:lineRule="auto"/>
              <w:jc w:val="left"/>
            </w:pPr>
            <w:r w:rsidRPr="00A453D8">
              <w:t>0</w:t>
            </w:r>
            <w:r w:rsidRPr="00A453D8">
              <w:noBreakHyphen/>
              <w:t>Acetamidobenzoic acid</w:t>
            </w:r>
          </w:p>
        </w:tc>
        <w:tc>
          <w:tcPr>
            <w:tcW w:w="3945" w:type="dxa"/>
          </w:tcPr>
          <w:p w14:paraId="61821DC9" w14:textId="77777777" w:rsidR="00CC5A17" w:rsidRPr="00A453D8" w:rsidRDefault="00CC5A17" w:rsidP="003A782C">
            <w:pPr>
              <w:spacing w:before="0" w:line="259" w:lineRule="auto"/>
            </w:pPr>
          </w:p>
        </w:tc>
      </w:tr>
      <w:tr w:rsidR="0059373B" w14:paraId="61821DCE" w14:textId="77777777" w:rsidTr="003A782C">
        <w:trPr>
          <w:cantSplit/>
        </w:trPr>
        <w:tc>
          <w:tcPr>
            <w:tcW w:w="3261" w:type="dxa"/>
          </w:tcPr>
          <w:p w14:paraId="61821DCB" w14:textId="77777777" w:rsidR="00CC5A17" w:rsidRPr="00A453D8" w:rsidRDefault="00E9069F" w:rsidP="003A782C">
            <w:pPr>
              <w:spacing w:before="0" w:line="259" w:lineRule="auto"/>
            </w:pPr>
            <w:r w:rsidRPr="00A453D8">
              <w:lastRenderedPageBreak/>
              <w:t xml:space="preserve">Allylbenzene </w:t>
            </w:r>
          </w:p>
        </w:tc>
        <w:tc>
          <w:tcPr>
            <w:tcW w:w="2494" w:type="dxa"/>
          </w:tcPr>
          <w:p w14:paraId="61821DCC" w14:textId="77777777" w:rsidR="00CC5A17" w:rsidRPr="00A453D8" w:rsidRDefault="00E9069F" w:rsidP="003A782C">
            <w:pPr>
              <w:spacing w:before="0" w:line="259" w:lineRule="auto"/>
              <w:jc w:val="left"/>
            </w:pPr>
            <w:r w:rsidRPr="00A453D8">
              <w:t>3</w:t>
            </w:r>
            <w:r w:rsidRPr="00A453D8">
              <w:noBreakHyphen/>
              <w:t>Phenyl</w:t>
            </w:r>
            <w:r w:rsidRPr="00A453D8">
              <w:noBreakHyphen/>
              <w:t>1</w:t>
            </w:r>
            <w:r w:rsidRPr="00A453D8">
              <w:noBreakHyphen/>
              <w:t>propene, 2</w:t>
            </w:r>
            <w:r w:rsidRPr="00A453D8">
              <w:noBreakHyphen/>
              <w:t>Propenyl Benzene</w:t>
            </w:r>
          </w:p>
        </w:tc>
        <w:tc>
          <w:tcPr>
            <w:tcW w:w="3945" w:type="dxa"/>
          </w:tcPr>
          <w:p w14:paraId="61821DCD" w14:textId="77777777" w:rsidR="00CC5A17" w:rsidRPr="00A453D8" w:rsidRDefault="00CC5A17" w:rsidP="003A782C">
            <w:pPr>
              <w:spacing w:before="0" w:line="259" w:lineRule="auto"/>
            </w:pPr>
          </w:p>
        </w:tc>
      </w:tr>
      <w:tr w:rsidR="0059373B" w14:paraId="61821DD2" w14:textId="77777777" w:rsidTr="003A782C">
        <w:trPr>
          <w:cantSplit/>
          <w:trHeight w:hRule="exact" w:val="340"/>
        </w:trPr>
        <w:tc>
          <w:tcPr>
            <w:tcW w:w="3261" w:type="dxa"/>
          </w:tcPr>
          <w:p w14:paraId="61821DCF" w14:textId="77777777" w:rsidR="00CC5A17" w:rsidRPr="00A453D8" w:rsidRDefault="00E9069F" w:rsidP="003A782C">
            <w:pPr>
              <w:spacing w:before="0" w:line="259" w:lineRule="auto"/>
            </w:pPr>
            <w:r w:rsidRPr="00A453D8">
              <w:t xml:space="preserve">Ammonium </w:t>
            </w:r>
            <w:proofErr w:type="spellStart"/>
            <w:r w:rsidRPr="00A453D8">
              <w:t>formate</w:t>
            </w:r>
            <w:proofErr w:type="spellEnd"/>
          </w:p>
        </w:tc>
        <w:tc>
          <w:tcPr>
            <w:tcW w:w="2494" w:type="dxa"/>
          </w:tcPr>
          <w:p w14:paraId="61821DD0" w14:textId="77777777" w:rsidR="00CC5A17" w:rsidRPr="00A453D8" w:rsidRDefault="00CC5A17" w:rsidP="003A782C">
            <w:pPr>
              <w:spacing w:before="0" w:line="259" w:lineRule="auto"/>
              <w:jc w:val="left"/>
            </w:pPr>
          </w:p>
        </w:tc>
        <w:tc>
          <w:tcPr>
            <w:tcW w:w="3945" w:type="dxa"/>
          </w:tcPr>
          <w:p w14:paraId="61821DD1" w14:textId="77777777" w:rsidR="00CC5A17" w:rsidRPr="00A453D8" w:rsidRDefault="00CC5A17" w:rsidP="003A782C">
            <w:pPr>
              <w:spacing w:before="0" w:line="259" w:lineRule="auto"/>
            </w:pPr>
          </w:p>
        </w:tc>
      </w:tr>
      <w:tr w:rsidR="0059373B" w14:paraId="61821DD6" w14:textId="77777777" w:rsidTr="003A782C">
        <w:trPr>
          <w:cantSplit/>
          <w:trHeight w:hRule="exact" w:val="340"/>
        </w:trPr>
        <w:tc>
          <w:tcPr>
            <w:tcW w:w="3261" w:type="dxa"/>
          </w:tcPr>
          <w:p w14:paraId="61821DD3" w14:textId="77777777" w:rsidR="00CC5A17" w:rsidRPr="00A453D8" w:rsidRDefault="00E9069F" w:rsidP="003A782C">
            <w:pPr>
              <w:spacing w:before="0" w:line="259" w:lineRule="auto"/>
            </w:pPr>
            <w:r w:rsidRPr="00A453D8">
              <w:t>Anthranilic acid</w:t>
            </w:r>
          </w:p>
        </w:tc>
        <w:tc>
          <w:tcPr>
            <w:tcW w:w="2494" w:type="dxa"/>
          </w:tcPr>
          <w:p w14:paraId="61821DD4" w14:textId="77777777" w:rsidR="00CC5A17" w:rsidRPr="00A453D8" w:rsidRDefault="00E9069F" w:rsidP="003A782C">
            <w:pPr>
              <w:spacing w:before="0" w:line="259" w:lineRule="auto"/>
              <w:jc w:val="left"/>
            </w:pPr>
            <w:r w:rsidRPr="00A453D8">
              <w:t>2</w:t>
            </w:r>
            <w:r w:rsidRPr="00A453D8">
              <w:noBreakHyphen/>
              <w:t>Aminobenzoic acid</w:t>
            </w:r>
          </w:p>
        </w:tc>
        <w:tc>
          <w:tcPr>
            <w:tcW w:w="3945" w:type="dxa"/>
          </w:tcPr>
          <w:p w14:paraId="61821DD5" w14:textId="77777777" w:rsidR="00CC5A17" w:rsidRPr="00A453D8" w:rsidRDefault="00CC5A17" w:rsidP="003A782C">
            <w:pPr>
              <w:spacing w:before="0" w:line="259" w:lineRule="auto"/>
            </w:pPr>
          </w:p>
        </w:tc>
      </w:tr>
      <w:tr w:rsidR="0059373B" w14:paraId="61821DDA" w14:textId="77777777" w:rsidTr="003A782C">
        <w:trPr>
          <w:cantSplit/>
          <w:trHeight w:hRule="exact" w:val="340"/>
        </w:trPr>
        <w:tc>
          <w:tcPr>
            <w:tcW w:w="3261" w:type="dxa"/>
          </w:tcPr>
          <w:p w14:paraId="61821DD7" w14:textId="77777777" w:rsidR="00CC5A17" w:rsidRPr="00A453D8" w:rsidRDefault="00E9069F" w:rsidP="003A782C">
            <w:pPr>
              <w:spacing w:before="0" w:line="259" w:lineRule="auto"/>
            </w:pPr>
            <w:r w:rsidRPr="00A453D8">
              <w:t>Benzaldehyde</w:t>
            </w:r>
          </w:p>
        </w:tc>
        <w:tc>
          <w:tcPr>
            <w:tcW w:w="2494" w:type="dxa"/>
          </w:tcPr>
          <w:p w14:paraId="61821DD8" w14:textId="77777777" w:rsidR="00CC5A17" w:rsidRPr="00A453D8" w:rsidRDefault="00CC5A17" w:rsidP="003A782C">
            <w:pPr>
              <w:spacing w:before="0" w:line="259" w:lineRule="auto"/>
              <w:jc w:val="left"/>
            </w:pPr>
          </w:p>
        </w:tc>
        <w:tc>
          <w:tcPr>
            <w:tcW w:w="3945" w:type="dxa"/>
          </w:tcPr>
          <w:p w14:paraId="61821DD9" w14:textId="77777777" w:rsidR="00CC5A17" w:rsidRPr="00A453D8" w:rsidRDefault="00CC5A17" w:rsidP="003A782C">
            <w:pPr>
              <w:spacing w:before="0" w:line="259" w:lineRule="auto"/>
            </w:pPr>
          </w:p>
        </w:tc>
      </w:tr>
      <w:tr w:rsidR="0059373B" w14:paraId="61821DDE" w14:textId="77777777" w:rsidTr="003A782C">
        <w:trPr>
          <w:cantSplit/>
          <w:trHeight w:hRule="exact" w:val="340"/>
        </w:trPr>
        <w:tc>
          <w:tcPr>
            <w:tcW w:w="3261" w:type="dxa"/>
          </w:tcPr>
          <w:p w14:paraId="61821DDB" w14:textId="77777777" w:rsidR="00CC5A17" w:rsidRPr="00A453D8" w:rsidRDefault="00E9069F" w:rsidP="003A782C">
            <w:pPr>
              <w:spacing w:before="0" w:line="259" w:lineRule="auto"/>
            </w:pPr>
            <w:r w:rsidRPr="00A453D8">
              <w:t>Benzyl chloride</w:t>
            </w:r>
          </w:p>
        </w:tc>
        <w:tc>
          <w:tcPr>
            <w:tcW w:w="2494" w:type="dxa"/>
          </w:tcPr>
          <w:p w14:paraId="61821DDC" w14:textId="77777777" w:rsidR="00CC5A17" w:rsidRPr="00A453D8" w:rsidRDefault="00E9069F" w:rsidP="003A782C">
            <w:pPr>
              <w:spacing w:before="0" w:line="259" w:lineRule="auto"/>
              <w:jc w:val="left"/>
            </w:pPr>
            <w:r w:rsidRPr="00A453D8">
              <w:t>a</w:t>
            </w:r>
            <w:r w:rsidRPr="00A453D8">
              <w:noBreakHyphen/>
              <w:t>Chlorotoluene</w:t>
            </w:r>
          </w:p>
        </w:tc>
        <w:tc>
          <w:tcPr>
            <w:tcW w:w="3945" w:type="dxa"/>
          </w:tcPr>
          <w:p w14:paraId="61821DDD" w14:textId="77777777" w:rsidR="00CC5A17" w:rsidRPr="00A453D8" w:rsidRDefault="00CC5A17" w:rsidP="003A782C">
            <w:pPr>
              <w:spacing w:before="0" w:line="259" w:lineRule="auto"/>
            </w:pPr>
          </w:p>
        </w:tc>
      </w:tr>
      <w:tr w:rsidR="0059373B" w14:paraId="61821DE2" w14:textId="77777777" w:rsidTr="003A782C">
        <w:trPr>
          <w:cantSplit/>
          <w:trHeight w:hRule="exact" w:val="340"/>
        </w:trPr>
        <w:tc>
          <w:tcPr>
            <w:tcW w:w="3261" w:type="dxa"/>
          </w:tcPr>
          <w:p w14:paraId="61821DDF" w14:textId="77777777" w:rsidR="00CC5A17" w:rsidRPr="00A453D8" w:rsidRDefault="00E9069F" w:rsidP="003A782C">
            <w:pPr>
              <w:spacing w:before="0" w:line="259" w:lineRule="auto"/>
            </w:pPr>
            <w:r w:rsidRPr="00A453D8">
              <w:t>Benzyl bromide</w:t>
            </w:r>
          </w:p>
        </w:tc>
        <w:tc>
          <w:tcPr>
            <w:tcW w:w="2494" w:type="dxa"/>
          </w:tcPr>
          <w:p w14:paraId="61821DE0" w14:textId="77777777" w:rsidR="00CC5A17" w:rsidRPr="00A453D8" w:rsidRDefault="00E9069F" w:rsidP="003A782C">
            <w:pPr>
              <w:spacing w:before="0" w:line="259" w:lineRule="auto"/>
              <w:jc w:val="left"/>
            </w:pPr>
            <w:r w:rsidRPr="00A453D8">
              <w:t>a</w:t>
            </w:r>
            <w:r w:rsidRPr="00A453D8">
              <w:noBreakHyphen/>
            </w:r>
            <w:proofErr w:type="spellStart"/>
            <w:r w:rsidRPr="00A453D8">
              <w:t>Bromotoluene</w:t>
            </w:r>
            <w:proofErr w:type="spellEnd"/>
          </w:p>
        </w:tc>
        <w:tc>
          <w:tcPr>
            <w:tcW w:w="3945" w:type="dxa"/>
          </w:tcPr>
          <w:p w14:paraId="61821DE1" w14:textId="77777777" w:rsidR="00CC5A17" w:rsidRPr="00A453D8" w:rsidRDefault="00CC5A17" w:rsidP="003A782C">
            <w:pPr>
              <w:spacing w:before="0" w:line="259" w:lineRule="auto"/>
            </w:pPr>
          </w:p>
        </w:tc>
      </w:tr>
      <w:tr w:rsidR="0059373B" w14:paraId="61821DE6" w14:textId="77777777" w:rsidTr="003A782C">
        <w:trPr>
          <w:cantSplit/>
          <w:trHeight w:hRule="exact" w:val="340"/>
        </w:trPr>
        <w:tc>
          <w:tcPr>
            <w:tcW w:w="3261" w:type="dxa"/>
          </w:tcPr>
          <w:p w14:paraId="61821DE3" w14:textId="77777777" w:rsidR="00CC5A17" w:rsidRPr="00A453D8" w:rsidRDefault="00E9069F" w:rsidP="003A782C">
            <w:pPr>
              <w:spacing w:before="0" w:line="259" w:lineRule="auto"/>
            </w:pPr>
            <w:r w:rsidRPr="00A453D8">
              <w:t xml:space="preserve">Alkali metal </w:t>
            </w:r>
            <w:r w:rsidRPr="00A453D8">
              <w:noBreakHyphen/>
              <w:t xml:space="preserve"> Calcium</w:t>
            </w:r>
          </w:p>
        </w:tc>
        <w:tc>
          <w:tcPr>
            <w:tcW w:w="2494" w:type="dxa"/>
          </w:tcPr>
          <w:p w14:paraId="61821DE4" w14:textId="77777777" w:rsidR="00CC5A17" w:rsidRPr="00A453D8" w:rsidRDefault="00CC5A17" w:rsidP="003A782C">
            <w:pPr>
              <w:spacing w:before="0" w:line="259" w:lineRule="auto"/>
              <w:jc w:val="left"/>
            </w:pPr>
          </w:p>
        </w:tc>
        <w:tc>
          <w:tcPr>
            <w:tcW w:w="3945" w:type="dxa"/>
          </w:tcPr>
          <w:p w14:paraId="61821DE5" w14:textId="77777777" w:rsidR="00CC5A17" w:rsidRPr="00A453D8" w:rsidRDefault="00CC5A17" w:rsidP="003A782C">
            <w:pPr>
              <w:spacing w:before="0" w:line="259" w:lineRule="auto"/>
            </w:pPr>
          </w:p>
        </w:tc>
      </w:tr>
      <w:tr w:rsidR="0059373B" w14:paraId="61821DEA" w14:textId="77777777" w:rsidTr="003A782C">
        <w:trPr>
          <w:cantSplit/>
          <w:trHeight w:hRule="exact" w:val="340"/>
        </w:trPr>
        <w:tc>
          <w:tcPr>
            <w:tcW w:w="3261" w:type="dxa"/>
          </w:tcPr>
          <w:p w14:paraId="61821DE7" w14:textId="77777777" w:rsidR="00CC5A17" w:rsidRPr="00A453D8" w:rsidRDefault="00E9069F" w:rsidP="003A782C">
            <w:pPr>
              <w:spacing w:before="0" w:line="259" w:lineRule="auto"/>
            </w:pPr>
            <w:r w:rsidRPr="00A453D8">
              <w:t>Chromic acid (including salts)</w:t>
            </w:r>
          </w:p>
        </w:tc>
        <w:tc>
          <w:tcPr>
            <w:tcW w:w="2494" w:type="dxa"/>
          </w:tcPr>
          <w:p w14:paraId="61821DE8" w14:textId="77777777" w:rsidR="00CC5A17" w:rsidRPr="00A453D8" w:rsidRDefault="00CC5A17" w:rsidP="003A782C">
            <w:pPr>
              <w:spacing w:before="0" w:line="259" w:lineRule="auto"/>
              <w:jc w:val="left"/>
            </w:pPr>
          </w:p>
        </w:tc>
        <w:tc>
          <w:tcPr>
            <w:tcW w:w="3945" w:type="dxa"/>
          </w:tcPr>
          <w:p w14:paraId="61821DE9" w14:textId="77777777" w:rsidR="00CC5A17" w:rsidRPr="00A453D8" w:rsidRDefault="00CC5A17" w:rsidP="003A782C">
            <w:pPr>
              <w:spacing w:before="0" w:line="259" w:lineRule="auto"/>
            </w:pPr>
          </w:p>
        </w:tc>
      </w:tr>
      <w:tr w:rsidR="0059373B" w14:paraId="61821DEE" w14:textId="77777777" w:rsidTr="003A782C">
        <w:trPr>
          <w:cantSplit/>
          <w:trHeight w:hRule="exact" w:val="340"/>
        </w:trPr>
        <w:tc>
          <w:tcPr>
            <w:tcW w:w="3261" w:type="dxa"/>
          </w:tcPr>
          <w:p w14:paraId="61821DEB" w14:textId="77777777" w:rsidR="00CC5A17" w:rsidRPr="00A453D8" w:rsidRDefault="00E9069F" w:rsidP="003A782C">
            <w:pPr>
              <w:spacing w:before="0" w:line="259" w:lineRule="auto"/>
            </w:pPr>
            <w:r w:rsidRPr="00A453D8">
              <w:t>Chromium trioxide</w:t>
            </w:r>
          </w:p>
        </w:tc>
        <w:tc>
          <w:tcPr>
            <w:tcW w:w="2494" w:type="dxa"/>
          </w:tcPr>
          <w:p w14:paraId="61821DEC" w14:textId="77777777" w:rsidR="00CC5A17" w:rsidRPr="00A453D8" w:rsidRDefault="00E9069F" w:rsidP="003A782C">
            <w:pPr>
              <w:spacing w:before="0" w:line="259" w:lineRule="auto"/>
              <w:jc w:val="left"/>
            </w:pPr>
            <w:r w:rsidRPr="00A453D8">
              <w:t>Chromium (VI) oxide</w:t>
            </w:r>
          </w:p>
        </w:tc>
        <w:tc>
          <w:tcPr>
            <w:tcW w:w="3945" w:type="dxa"/>
          </w:tcPr>
          <w:p w14:paraId="61821DED" w14:textId="77777777" w:rsidR="00CC5A17" w:rsidRPr="00A453D8" w:rsidRDefault="00CC5A17" w:rsidP="003A782C">
            <w:pPr>
              <w:spacing w:before="0" w:line="259" w:lineRule="auto"/>
            </w:pPr>
          </w:p>
        </w:tc>
      </w:tr>
      <w:tr w:rsidR="0059373B" w14:paraId="61821DF2" w14:textId="77777777" w:rsidTr="003A782C">
        <w:trPr>
          <w:cantSplit/>
          <w:trHeight w:hRule="exact" w:val="340"/>
        </w:trPr>
        <w:tc>
          <w:tcPr>
            <w:tcW w:w="3261" w:type="dxa"/>
          </w:tcPr>
          <w:p w14:paraId="61821DEF" w14:textId="77777777" w:rsidR="00CC5A17" w:rsidRPr="00A453D8" w:rsidRDefault="00E9069F" w:rsidP="003A782C">
            <w:pPr>
              <w:spacing w:before="0" w:line="259" w:lineRule="auto"/>
            </w:pPr>
            <w:r w:rsidRPr="00A453D8">
              <w:t>Ergometrine</w:t>
            </w:r>
          </w:p>
        </w:tc>
        <w:tc>
          <w:tcPr>
            <w:tcW w:w="2494" w:type="dxa"/>
          </w:tcPr>
          <w:p w14:paraId="61821DF0" w14:textId="77777777" w:rsidR="00CC5A17" w:rsidRPr="00A453D8" w:rsidRDefault="00E9069F" w:rsidP="003A782C">
            <w:pPr>
              <w:spacing w:before="0" w:line="259" w:lineRule="auto"/>
              <w:jc w:val="left"/>
            </w:pPr>
            <w:r w:rsidRPr="00A453D8">
              <w:t>Ergonovine</w:t>
            </w:r>
          </w:p>
        </w:tc>
        <w:tc>
          <w:tcPr>
            <w:tcW w:w="3945" w:type="dxa"/>
          </w:tcPr>
          <w:p w14:paraId="61821DF1" w14:textId="77777777" w:rsidR="00CC5A17" w:rsidRPr="00A453D8" w:rsidRDefault="00CC5A17" w:rsidP="003A782C">
            <w:pPr>
              <w:spacing w:before="0" w:line="259" w:lineRule="auto"/>
            </w:pPr>
          </w:p>
        </w:tc>
      </w:tr>
      <w:tr w:rsidR="0059373B" w14:paraId="61821DF6" w14:textId="77777777" w:rsidTr="003A782C">
        <w:trPr>
          <w:cantSplit/>
          <w:trHeight w:hRule="exact" w:val="340"/>
        </w:trPr>
        <w:tc>
          <w:tcPr>
            <w:tcW w:w="3261" w:type="dxa"/>
          </w:tcPr>
          <w:p w14:paraId="61821DF3" w14:textId="77777777" w:rsidR="00CC5A17" w:rsidRPr="00A453D8" w:rsidRDefault="00E9069F" w:rsidP="003A782C">
            <w:pPr>
              <w:spacing w:before="0" w:line="259" w:lineRule="auto"/>
            </w:pPr>
            <w:r w:rsidRPr="00A453D8">
              <w:t>Ergotamine</w:t>
            </w:r>
          </w:p>
        </w:tc>
        <w:tc>
          <w:tcPr>
            <w:tcW w:w="2494" w:type="dxa"/>
          </w:tcPr>
          <w:p w14:paraId="61821DF4" w14:textId="77777777" w:rsidR="00CC5A17" w:rsidRPr="00A453D8" w:rsidRDefault="00CC5A17" w:rsidP="003A782C">
            <w:pPr>
              <w:spacing w:before="0" w:line="259" w:lineRule="auto"/>
              <w:jc w:val="left"/>
            </w:pPr>
          </w:p>
        </w:tc>
        <w:tc>
          <w:tcPr>
            <w:tcW w:w="3945" w:type="dxa"/>
          </w:tcPr>
          <w:p w14:paraId="61821DF5" w14:textId="77777777" w:rsidR="00CC5A17" w:rsidRPr="00A453D8" w:rsidRDefault="00CC5A17" w:rsidP="003A782C">
            <w:pPr>
              <w:spacing w:before="0" w:line="259" w:lineRule="auto"/>
            </w:pPr>
          </w:p>
        </w:tc>
      </w:tr>
      <w:tr w:rsidR="0059373B" w14:paraId="61821DFA" w14:textId="77777777" w:rsidTr="003A782C">
        <w:trPr>
          <w:cantSplit/>
          <w:trHeight w:hRule="exact" w:val="340"/>
        </w:trPr>
        <w:tc>
          <w:tcPr>
            <w:tcW w:w="3261" w:type="dxa"/>
          </w:tcPr>
          <w:p w14:paraId="61821DF7" w14:textId="77777777" w:rsidR="00CC5A17" w:rsidRPr="00A453D8" w:rsidRDefault="00E9069F" w:rsidP="003A782C">
            <w:pPr>
              <w:spacing w:before="0" w:line="259" w:lineRule="auto"/>
            </w:pPr>
            <w:proofErr w:type="spellStart"/>
            <w:r w:rsidRPr="00A453D8">
              <w:t>Ethanamine</w:t>
            </w:r>
            <w:proofErr w:type="spellEnd"/>
          </w:p>
        </w:tc>
        <w:tc>
          <w:tcPr>
            <w:tcW w:w="2494" w:type="dxa"/>
          </w:tcPr>
          <w:p w14:paraId="61821DF8" w14:textId="77777777" w:rsidR="00CC5A17" w:rsidRPr="00A453D8" w:rsidRDefault="00E9069F" w:rsidP="003A782C">
            <w:pPr>
              <w:spacing w:before="0" w:line="259" w:lineRule="auto"/>
              <w:jc w:val="left"/>
            </w:pPr>
            <w:proofErr w:type="spellStart"/>
            <w:r w:rsidRPr="00A453D8">
              <w:t>Monoethylamine</w:t>
            </w:r>
            <w:proofErr w:type="spellEnd"/>
          </w:p>
        </w:tc>
        <w:tc>
          <w:tcPr>
            <w:tcW w:w="3945" w:type="dxa"/>
          </w:tcPr>
          <w:p w14:paraId="61821DF9" w14:textId="77777777" w:rsidR="00CC5A17" w:rsidRPr="00A453D8" w:rsidRDefault="00CC5A17" w:rsidP="003A782C">
            <w:pPr>
              <w:spacing w:before="0" w:line="259" w:lineRule="auto"/>
            </w:pPr>
          </w:p>
        </w:tc>
      </w:tr>
      <w:tr w:rsidR="0059373B" w14:paraId="61821DFE" w14:textId="77777777" w:rsidTr="003A782C">
        <w:trPr>
          <w:cantSplit/>
          <w:trHeight w:hRule="exact" w:val="340"/>
        </w:trPr>
        <w:tc>
          <w:tcPr>
            <w:tcW w:w="3261" w:type="dxa"/>
          </w:tcPr>
          <w:p w14:paraId="61821DFB" w14:textId="77777777" w:rsidR="00CC5A17" w:rsidRPr="00A453D8" w:rsidRDefault="00E9069F" w:rsidP="003A782C">
            <w:pPr>
              <w:spacing w:before="0" w:line="259" w:lineRule="auto"/>
            </w:pPr>
            <w:r w:rsidRPr="00A453D8">
              <w:t>N</w:t>
            </w:r>
            <w:r w:rsidRPr="00A453D8">
              <w:noBreakHyphen/>
              <w:t>Ethylephedrine</w:t>
            </w:r>
          </w:p>
        </w:tc>
        <w:tc>
          <w:tcPr>
            <w:tcW w:w="2494" w:type="dxa"/>
          </w:tcPr>
          <w:p w14:paraId="61821DFC" w14:textId="77777777" w:rsidR="00CC5A17" w:rsidRPr="00A453D8" w:rsidRDefault="00CC5A17" w:rsidP="003A782C">
            <w:pPr>
              <w:spacing w:before="0" w:line="259" w:lineRule="auto"/>
              <w:jc w:val="left"/>
            </w:pPr>
          </w:p>
        </w:tc>
        <w:tc>
          <w:tcPr>
            <w:tcW w:w="3945" w:type="dxa"/>
          </w:tcPr>
          <w:p w14:paraId="61821DFD" w14:textId="77777777" w:rsidR="00CC5A17" w:rsidRPr="00A453D8" w:rsidRDefault="00CC5A17" w:rsidP="003A782C">
            <w:pPr>
              <w:spacing w:before="0" w:line="259" w:lineRule="auto"/>
            </w:pPr>
          </w:p>
        </w:tc>
      </w:tr>
      <w:tr w:rsidR="0059373B" w14:paraId="61821E02" w14:textId="77777777" w:rsidTr="003A782C">
        <w:trPr>
          <w:cantSplit/>
          <w:trHeight w:hRule="exact" w:val="340"/>
        </w:trPr>
        <w:tc>
          <w:tcPr>
            <w:tcW w:w="3261" w:type="dxa"/>
          </w:tcPr>
          <w:p w14:paraId="61821DFF" w14:textId="77777777" w:rsidR="00CC5A17" w:rsidRPr="00A453D8" w:rsidRDefault="00E9069F" w:rsidP="003A782C">
            <w:pPr>
              <w:spacing w:before="0" w:line="259" w:lineRule="auto"/>
            </w:pPr>
            <w:r w:rsidRPr="00A453D8">
              <w:t>N</w:t>
            </w:r>
            <w:r w:rsidRPr="00A453D8">
              <w:noBreakHyphen/>
            </w:r>
            <w:proofErr w:type="spellStart"/>
            <w:r w:rsidRPr="00A453D8">
              <w:t>Ethylpseudoephedrine</w:t>
            </w:r>
            <w:proofErr w:type="spellEnd"/>
          </w:p>
        </w:tc>
        <w:tc>
          <w:tcPr>
            <w:tcW w:w="2494" w:type="dxa"/>
          </w:tcPr>
          <w:p w14:paraId="61821E00" w14:textId="77777777" w:rsidR="00CC5A17" w:rsidRPr="00A453D8" w:rsidRDefault="00CC5A17" w:rsidP="003A782C">
            <w:pPr>
              <w:spacing w:before="0" w:line="259" w:lineRule="auto"/>
              <w:jc w:val="left"/>
            </w:pPr>
          </w:p>
        </w:tc>
        <w:tc>
          <w:tcPr>
            <w:tcW w:w="3945" w:type="dxa"/>
          </w:tcPr>
          <w:p w14:paraId="61821E01" w14:textId="77777777" w:rsidR="00CC5A17" w:rsidRPr="00A453D8" w:rsidRDefault="00CC5A17" w:rsidP="003A782C">
            <w:pPr>
              <w:spacing w:before="0" w:line="259" w:lineRule="auto"/>
            </w:pPr>
          </w:p>
        </w:tc>
      </w:tr>
      <w:tr w:rsidR="0059373B" w14:paraId="61821E06" w14:textId="77777777" w:rsidTr="003A782C">
        <w:trPr>
          <w:cantSplit/>
          <w:trHeight w:hRule="exact" w:val="340"/>
        </w:trPr>
        <w:tc>
          <w:tcPr>
            <w:tcW w:w="3261" w:type="dxa"/>
          </w:tcPr>
          <w:p w14:paraId="61821E03" w14:textId="77777777" w:rsidR="00CC5A17" w:rsidRPr="00A453D8" w:rsidRDefault="00E9069F" w:rsidP="003A782C">
            <w:pPr>
              <w:spacing w:before="0" w:line="259" w:lineRule="auto"/>
            </w:pPr>
            <w:r w:rsidRPr="00A453D8">
              <w:t>Formamide</w:t>
            </w:r>
          </w:p>
        </w:tc>
        <w:tc>
          <w:tcPr>
            <w:tcW w:w="2494" w:type="dxa"/>
          </w:tcPr>
          <w:p w14:paraId="61821E04" w14:textId="77777777" w:rsidR="00CC5A17" w:rsidRPr="00A453D8" w:rsidRDefault="00CC5A17" w:rsidP="003A782C">
            <w:pPr>
              <w:spacing w:before="0" w:line="259" w:lineRule="auto"/>
              <w:jc w:val="left"/>
            </w:pPr>
          </w:p>
        </w:tc>
        <w:tc>
          <w:tcPr>
            <w:tcW w:w="3945" w:type="dxa"/>
          </w:tcPr>
          <w:p w14:paraId="61821E05" w14:textId="77777777" w:rsidR="00CC5A17" w:rsidRPr="00A453D8" w:rsidRDefault="00CC5A17" w:rsidP="003A782C">
            <w:pPr>
              <w:spacing w:before="0" w:line="259" w:lineRule="auto"/>
            </w:pPr>
          </w:p>
        </w:tc>
      </w:tr>
      <w:tr w:rsidR="0059373B" w14:paraId="61821E0A" w14:textId="77777777" w:rsidTr="003A782C">
        <w:trPr>
          <w:cantSplit/>
          <w:trHeight w:hRule="exact" w:val="340"/>
        </w:trPr>
        <w:tc>
          <w:tcPr>
            <w:tcW w:w="3261" w:type="dxa"/>
          </w:tcPr>
          <w:p w14:paraId="61821E07" w14:textId="77777777" w:rsidR="00CC5A17" w:rsidRPr="00A453D8" w:rsidRDefault="00E9069F" w:rsidP="003A782C">
            <w:pPr>
              <w:spacing w:before="0" w:line="259" w:lineRule="auto"/>
            </w:pPr>
            <w:r w:rsidRPr="00A453D8">
              <w:t>Hydrobromic acid</w:t>
            </w:r>
          </w:p>
        </w:tc>
        <w:tc>
          <w:tcPr>
            <w:tcW w:w="2494" w:type="dxa"/>
          </w:tcPr>
          <w:p w14:paraId="61821E08" w14:textId="77777777" w:rsidR="00CC5A17" w:rsidRPr="00A453D8" w:rsidRDefault="00E9069F" w:rsidP="003A782C">
            <w:pPr>
              <w:spacing w:before="0" w:line="259" w:lineRule="auto"/>
              <w:jc w:val="left"/>
            </w:pPr>
            <w:r w:rsidRPr="00A453D8">
              <w:t xml:space="preserve">Hydrogen bromide solution </w:t>
            </w:r>
          </w:p>
        </w:tc>
        <w:tc>
          <w:tcPr>
            <w:tcW w:w="3945" w:type="dxa"/>
          </w:tcPr>
          <w:p w14:paraId="61821E09" w14:textId="77777777" w:rsidR="00CC5A17" w:rsidRPr="00A453D8" w:rsidRDefault="00CC5A17" w:rsidP="003A782C">
            <w:pPr>
              <w:spacing w:before="0" w:line="259" w:lineRule="auto"/>
            </w:pPr>
          </w:p>
        </w:tc>
      </w:tr>
      <w:tr w:rsidR="0059373B" w14:paraId="61821E0E" w14:textId="77777777" w:rsidTr="003A782C">
        <w:trPr>
          <w:cantSplit/>
          <w:trHeight w:hRule="exact" w:val="340"/>
        </w:trPr>
        <w:tc>
          <w:tcPr>
            <w:tcW w:w="3261" w:type="dxa"/>
          </w:tcPr>
          <w:p w14:paraId="61821E0B" w14:textId="77777777" w:rsidR="00CC5A17" w:rsidRPr="00A453D8" w:rsidRDefault="00E9069F" w:rsidP="003A782C">
            <w:pPr>
              <w:spacing w:before="0" w:line="259" w:lineRule="auto"/>
            </w:pPr>
            <w:r w:rsidRPr="00A453D8">
              <w:t>Hypophosphite salts</w:t>
            </w:r>
          </w:p>
        </w:tc>
        <w:tc>
          <w:tcPr>
            <w:tcW w:w="2494" w:type="dxa"/>
          </w:tcPr>
          <w:p w14:paraId="61821E0C" w14:textId="77777777" w:rsidR="00CC5A17" w:rsidRPr="00A453D8" w:rsidRDefault="00CC5A17" w:rsidP="003A782C">
            <w:pPr>
              <w:spacing w:before="0" w:line="259" w:lineRule="auto"/>
              <w:jc w:val="left"/>
            </w:pPr>
          </w:p>
        </w:tc>
        <w:tc>
          <w:tcPr>
            <w:tcW w:w="3945" w:type="dxa"/>
          </w:tcPr>
          <w:p w14:paraId="61821E0D" w14:textId="77777777" w:rsidR="00CC5A17" w:rsidRPr="00A453D8" w:rsidRDefault="00CC5A17" w:rsidP="003A782C">
            <w:pPr>
              <w:spacing w:before="0" w:line="259" w:lineRule="auto"/>
            </w:pPr>
          </w:p>
        </w:tc>
      </w:tr>
      <w:tr w:rsidR="0059373B" w14:paraId="61821E12" w14:textId="77777777" w:rsidTr="003A782C">
        <w:trPr>
          <w:cantSplit/>
          <w:trHeight w:hRule="exact" w:val="340"/>
        </w:trPr>
        <w:tc>
          <w:tcPr>
            <w:tcW w:w="3261" w:type="dxa"/>
          </w:tcPr>
          <w:p w14:paraId="61821E0F" w14:textId="77777777" w:rsidR="001B47DA" w:rsidRPr="00A453D8" w:rsidRDefault="00E9069F" w:rsidP="003A782C">
            <w:pPr>
              <w:spacing w:before="0" w:line="259" w:lineRule="auto"/>
            </w:pPr>
            <w:proofErr w:type="spellStart"/>
            <w:r w:rsidRPr="00A453D8">
              <w:t>Isosafrole</w:t>
            </w:r>
            <w:proofErr w:type="spellEnd"/>
          </w:p>
        </w:tc>
        <w:tc>
          <w:tcPr>
            <w:tcW w:w="2494" w:type="dxa"/>
          </w:tcPr>
          <w:p w14:paraId="61821E10" w14:textId="77777777" w:rsidR="001B47DA" w:rsidRPr="00A453D8" w:rsidRDefault="00E9069F" w:rsidP="003A782C">
            <w:pPr>
              <w:spacing w:before="0" w:line="259" w:lineRule="auto"/>
              <w:jc w:val="left"/>
            </w:pPr>
            <w:r w:rsidRPr="00A453D8">
              <w:t>1, 3</w:t>
            </w:r>
            <w:r w:rsidRPr="00A453D8">
              <w:noBreakHyphen/>
              <w:t>Benzodioxole, 5</w:t>
            </w:r>
            <w:r w:rsidRPr="00A453D8">
              <w:noBreakHyphen/>
              <w:t>(1</w:t>
            </w:r>
            <w:r w:rsidRPr="00A453D8">
              <w:noBreakHyphen/>
              <w:t>propenyl)</w:t>
            </w:r>
          </w:p>
        </w:tc>
        <w:tc>
          <w:tcPr>
            <w:tcW w:w="3945" w:type="dxa"/>
          </w:tcPr>
          <w:p w14:paraId="61821E11" w14:textId="77777777" w:rsidR="001B47DA" w:rsidRPr="00A453D8" w:rsidRDefault="001B47DA" w:rsidP="003A782C">
            <w:pPr>
              <w:spacing w:before="0" w:line="259" w:lineRule="auto"/>
            </w:pPr>
          </w:p>
        </w:tc>
      </w:tr>
      <w:tr w:rsidR="0059373B" w14:paraId="61821E19" w14:textId="77777777" w:rsidTr="003A782C">
        <w:trPr>
          <w:cantSplit/>
          <w:trHeight w:hRule="exact" w:val="340"/>
        </w:trPr>
        <w:tc>
          <w:tcPr>
            <w:tcW w:w="3261" w:type="dxa"/>
          </w:tcPr>
          <w:p w14:paraId="61821E16" w14:textId="77777777" w:rsidR="00CC5A17" w:rsidRPr="00A453D8" w:rsidRDefault="00E9069F" w:rsidP="003A782C">
            <w:pPr>
              <w:spacing w:before="0" w:line="259" w:lineRule="auto"/>
            </w:pPr>
            <w:r w:rsidRPr="00A453D8">
              <w:t xml:space="preserve">Alkali metal </w:t>
            </w:r>
            <w:r w:rsidRPr="00A453D8">
              <w:noBreakHyphen/>
              <w:t xml:space="preserve"> Lithium</w:t>
            </w:r>
          </w:p>
        </w:tc>
        <w:tc>
          <w:tcPr>
            <w:tcW w:w="2494" w:type="dxa"/>
          </w:tcPr>
          <w:p w14:paraId="61821E17" w14:textId="77777777" w:rsidR="00CC5A17" w:rsidRPr="00A453D8" w:rsidRDefault="00CC5A17" w:rsidP="003A782C">
            <w:pPr>
              <w:spacing w:before="0" w:line="259" w:lineRule="auto"/>
              <w:jc w:val="left"/>
            </w:pPr>
          </w:p>
        </w:tc>
        <w:tc>
          <w:tcPr>
            <w:tcW w:w="3945" w:type="dxa"/>
          </w:tcPr>
          <w:p w14:paraId="61821E18" w14:textId="76B5E099" w:rsidR="00CC5A17" w:rsidRPr="00A453D8" w:rsidRDefault="00E9069F" w:rsidP="003A782C">
            <w:pPr>
              <w:spacing w:before="0" w:line="259" w:lineRule="auto"/>
            </w:pPr>
            <w:r w:rsidRPr="00A453D8">
              <w:t>7 g</w:t>
            </w:r>
          </w:p>
        </w:tc>
      </w:tr>
      <w:tr w:rsidR="0059373B" w14:paraId="61821E1D" w14:textId="77777777" w:rsidTr="003A782C">
        <w:trPr>
          <w:cantSplit/>
          <w:trHeight w:hRule="exact" w:val="340"/>
        </w:trPr>
        <w:tc>
          <w:tcPr>
            <w:tcW w:w="3261" w:type="dxa"/>
          </w:tcPr>
          <w:p w14:paraId="61821E1A" w14:textId="77777777" w:rsidR="00CC5A17" w:rsidRPr="00A453D8" w:rsidRDefault="00E9069F" w:rsidP="003A782C">
            <w:pPr>
              <w:spacing w:before="0" w:line="259" w:lineRule="auto"/>
            </w:pPr>
            <w:r w:rsidRPr="00A453D8">
              <w:t>Lysergic acid</w:t>
            </w:r>
          </w:p>
        </w:tc>
        <w:tc>
          <w:tcPr>
            <w:tcW w:w="2494" w:type="dxa"/>
          </w:tcPr>
          <w:p w14:paraId="61821E1B" w14:textId="77777777" w:rsidR="00CC5A17" w:rsidRPr="00A453D8" w:rsidRDefault="00CC5A17" w:rsidP="003A782C">
            <w:pPr>
              <w:spacing w:before="0" w:line="259" w:lineRule="auto"/>
              <w:jc w:val="left"/>
            </w:pPr>
          </w:p>
        </w:tc>
        <w:tc>
          <w:tcPr>
            <w:tcW w:w="3945" w:type="dxa"/>
          </w:tcPr>
          <w:p w14:paraId="61821E1C" w14:textId="77777777" w:rsidR="00CC5A17" w:rsidRPr="00A453D8" w:rsidRDefault="00CC5A17" w:rsidP="003A782C">
            <w:pPr>
              <w:spacing w:before="0" w:line="259" w:lineRule="auto"/>
            </w:pPr>
          </w:p>
        </w:tc>
      </w:tr>
      <w:tr w:rsidR="0059373B" w14:paraId="61821E21" w14:textId="77777777" w:rsidTr="003A782C">
        <w:trPr>
          <w:cantSplit/>
          <w:trHeight w:hRule="exact" w:val="340"/>
        </w:trPr>
        <w:tc>
          <w:tcPr>
            <w:tcW w:w="3261" w:type="dxa"/>
            <w:tcBorders>
              <w:bottom w:val="single" w:sz="4" w:space="0" w:color="auto"/>
            </w:tcBorders>
          </w:tcPr>
          <w:p w14:paraId="61821E1E" w14:textId="77777777" w:rsidR="00CC5A17" w:rsidRPr="00A453D8" w:rsidRDefault="00E9069F" w:rsidP="003A782C">
            <w:pPr>
              <w:spacing w:before="0" w:line="259" w:lineRule="auto"/>
            </w:pPr>
            <w:r w:rsidRPr="00A453D8">
              <w:t xml:space="preserve">Alkali metal </w:t>
            </w:r>
            <w:r w:rsidRPr="00A453D8">
              <w:noBreakHyphen/>
              <w:t xml:space="preserve"> Magnesium</w:t>
            </w:r>
          </w:p>
        </w:tc>
        <w:tc>
          <w:tcPr>
            <w:tcW w:w="2494" w:type="dxa"/>
          </w:tcPr>
          <w:p w14:paraId="61821E1F" w14:textId="77777777" w:rsidR="00CC5A17" w:rsidRPr="00A453D8" w:rsidRDefault="00CC5A17" w:rsidP="003A782C">
            <w:pPr>
              <w:spacing w:before="0" w:line="259" w:lineRule="auto"/>
              <w:jc w:val="left"/>
            </w:pPr>
          </w:p>
        </w:tc>
        <w:tc>
          <w:tcPr>
            <w:tcW w:w="3945" w:type="dxa"/>
          </w:tcPr>
          <w:p w14:paraId="61821E20" w14:textId="77777777" w:rsidR="00CC5A17" w:rsidRPr="00A453D8" w:rsidRDefault="00CC5A17" w:rsidP="003A782C">
            <w:pPr>
              <w:spacing w:before="0" w:line="259" w:lineRule="auto"/>
            </w:pPr>
          </w:p>
        </w:tc>
      </w:tr>
      <w:tr w:rsidR="0059373B" w14:paraId="61821E26" w14:textId="77777777" w:rsidTr="003A782C">
        <w:trPr>
          <w:cantSplit/>
          <w:trHeight w:hRule="exact" w:val="340"/>
        </w:trPr>
        <w:tc>
          <w:tcPr>
            <w:tcW w:w="3261" w:type="dxa"/>
            <w:tcBorders>
              <w:right w:val="nil"/>
            </w:tcBorders>
          </w:tcPr>
          <w:p w14:paraId="61821E22" w14:textId="77777777" w:rsidR="00CC5A17" w:rsidRPr="00A453D8" w:rsidRDefault="00E9069F" w:rsidP="003A782C">
            <w:pPr>
              <w:spacing w:before="0" w:line="259" w:lineRule="auto"/>
            </w:pPr>
            <w:r w:rsidRPr="00A453D8">
              <w:t>Methylamine (&amp; gas)</w:t>
            </w:r>
          </w:p>
        </w:tc>
        <w:tc>
          <w:tcPr>
            <w:tcW w:w="2494" w:type="dxa"/>
            <w:tcBorders>
              <w:left w:val="nil"/>
              <w:right w:val="nil"/>
            </w:tcBorders>
          </w:tcPr>
          <w:p w14:paraId="61821E23" w14:textId="77777777" w:rsidR="00CC5A17" w:rsidRPr="00A453D8" w:rsidRDefault="00E9069F" w:rsidP="003A782C">
            <w:pPr>
              <w:spacing w:before="0" w:line="259" w:lineRule="auto"/>
              <w:jc w:val="left"/>
            </w:pPr>
            <w:r w:rsidRPr="00A453D8">
              <w:t>Aminomethane/Monomethylamine</w:t>
            </w:r>
          </w:p>
        </w:tc>
        <w:tc>
          <w:tcPr>
            <w:tcW w:w="3945" w:type="dxa"/>
            <w:tcBorders>
              <w:left w:val="nil"/>
            </w:tcBorders>
          </w:tcPr>
          <w:p w14:paraId="61821E24" w14:textId="77777777" w:rsidR="00CC5A17" w:rsidRPr="00A453D8" w:rsidRDefault="00E9069F" w:rsidP="003A782C">
            <w:pPr>
              <w:spacing w:before="0" w:line="259" w:lineRule="auto"/>
              <w:jc w:val="left"/>
            </w:pPr>
            <w:r w:rsidRPr="00A453D8">
              <w:t>135 ml</w:t>
            </w:r>
          </w:p>
          <w:p w14:paraId="61821E25" w14:textId="77777777" w:rsidR="00CC5A17" w:rsidRPr="00A453D8" w:rsidRDefault="00CC5A17" w:rsidP="003A782C">
            <w:pPr>
              <w:spacing w:before="0" w:line="259" w:lineRule="auto"/>
              <w:jc w:val="left"/>
            </w:pPr>
          </w:p>
        </w:tc>
      </w:tr>
      <w:tr w:rsidR="0059373B" w14:paraId="61821E2A" w14:textId="77777777" w:rsidTr="003A782C">
        <w:trPr>
          <w:cantSplit/>
          <w:trHeight w:hRule="exact" w:val="340"/>
        </w:trPr>
        <w:tc>
          <w:tcPr>
            <w:tcW w:w="3261" w:type="dxa"/>
          </w:tcPr>
          <w:p w14:paraId="61821E27" w14:textId="77777777" w:rsidR="00CC5A17" w:rsidRPr="00A453D8" w:rsidRDefault="00E9069F" w:rsidP="003A782C">
            <w:pPr>
              <w:spacing w:before="0" w:line="259" w:lineRule="auto"/>
            </w:pPr>
            <w:r w:rsidRPr="00A453D8">
              <w:t>Methylammonium salts</w:t>
            </w:r>
          </w:p>
        </w:tc>
        <w:tc>
          <w:tcPr>
            <w:tcW w:w="2494" w:type="dxa"/>
          </w:tcPr>
          <w:p w14:paraId="61821E28" w14:textId="77777777" w:rsidR="00CC5A17" w:rsidRPr="00A453D8" w:rsidRDefault="00CC5A17" w:rsidP="003A782C">
            <w:pPr>
              <w:spacing w:before="0" w:line="259" w:lineRule="auto"/>
              <w:jc w:val="left"/>
            </w:pPr>
          </w:p>
        </w:tc>
        <w:tc>
          <w:tcPr>
            <w:tcW w:w="3945" w:type="dxa"/>
          </w:tcPr>
          <w:p w14:paraId="61821E29" w14:textId="77777777" w:rsidR="00CC5A17" w:rsidRPr="00A453D8" w:rsidRDefault="00CC5A17" w:rsidP="003A782C">
            <w:pPr>
              <w:spacing w:before="0" w:line="259" w:lineRule="auto"/>
              <w:jc w:val="left"/>
            </w:pPr>
          </w:p>
        </w:tc>
      </w:tr>
      <w:tr w:rsidR="0059373B" w14:paraId="61821E2E" w14:textId="77777777" w:rsidTr="003A782C">
        <w:trPr>
          <w:cantSplit/>
          <w:trHeight w:hRule="exact" w:val="340"/>
        </w:trPr>
        <w:tc>
          <w:tcPr>
            <w:tcW w:w="3261" w:type="dxa"/>
          </w:tcPr>
          <w:p w14:paraId="61821E2B" w14:textId="77777777" w:rsidR="00CC5A17" w:rsidRPr="00A453D8" w:rsidRDefault="00E9069F" w:rsidP="003A782C">
            <w:pPr>
              <w:spacing w:before="0" w:line="259" w:lineRule="auto"/>
            </w:pPr>
            <w:r w:rsidRPr="00A453D8">
              <w:t>N</w:t>
            </w:r>
            <w:r w:rsidRPr="00A453D8">
              <w:noBreakHyphen/>
            </w:r>
            <w:proofErr w:type="spellStart"/>
            <w:r w:rsidRPr="00A453D8">
              <w:t>Methylformamide</w:t>
            </w:r>
            <w:proofErr w:type="spellEnd"/>
          </w:p>
        </w:tc>
        <w:tc>
          <w:tcPr>
            <w:tcW w:w="2494" w:type="dxa"/>
          </w:tcPr>
          <w:p w14:paraId="61821E2C" w14:textId="77777777" w:rsidR="00CC5A17" w:rsidRPr="00A453D8" w:rsidRDefault="00CC5A17" w:rsidP="003A782C">
            <w:pPr>
              <w:spacing w:before="0" w:line="259" w:lineRule="auto"/>
              <w:jc w:val="left"/>
            </w:pPr>
          </w:p>
        </w:tc>
        <w:tc>
          <w:tcPr>
            <w:tcW w:w="3945" w:type="dxa"/>
          </w:tcPr>
          <w:p w14:paraId="61821E2D" w14:textId="77777777" w:rsidR="00CC5A17" w:rsidRPr="00A453D8" w:rsidRDefault="00CC5A17" w:rsidP="003A782C">
            <w:pPr>
              <w:spacing w:before="0" w:line="259" w:lineRule="auto"/>
              <w:jc w:val="left"/>
            </w:pPr>
          </w:p>
        </w:tc>
      </w:tr>
      <w:tr w:rsidR="0059373B" w14:paraId="61821E32" w14:textId="77777777" w:rsidTr="003A782C">
        <w:trPr>
          <w:cantSplit/>
          <w:trHeight w:hRule="exact" w:val="340"/>
        </w:trPr>
        <w:tc>
          <w:tcPr>
            <w:tcW w:w="3261" w:type="dxa"/>
          </w:tcPr>
          <w:p w14:paraId="61821E2F" w14:textId="77777777" w:rsidR="00CC5A17" w:rsidRPr="00A453D8" w:rsidRDefault="00E9069F" w:rsidP="003A782C">
            <w:pPr>
              <w:spacing w:before="0" w:line="259" w:lineRule="auto"/>
            </w:pPr>
            <w:r w:rsidRPr="00A453D8">
              <w:t>Palladium (including salts)</w:t>
            </w:r>
          </w:p>
        </w:tc>
        <w:tc>
          <w:tcPr>
            <w:tcW w:w="2494" w:type="dxa"/>
          </w:tcPr>
          <w:p w14:paraId="61821E30" w14:textId="77777777" w:rsidR="00CC5A17" w:rsidRPr="00A453D8" w:rsidRDefault="00CC5A17" w:rsidP="003A782C">
            <w:pPr>
              <w:spacing w:before="0" w:line="259" w:lineRule="auto"/>
              <w:jc w:val="left"/>
            </w:pPr>
          </w:p>
        </w:tc>
        <w:tc>
          <w:tcPr>
            <w:tcW w:w="3945" w:type="dxa"/>
          </w:tcPr>
          <w:p w14:paraId="61821E31" w14:textId="77777777" w:rsidR="00CC5A17" w:rsidRPr="00A453D8" w:rsidRDefault="00CC5A17" w:rsidP="003A782C">
            <w:pPr>
              <w:spacing w:before="0" w:line="259" w:lineRule="auto"/>
              <w:jc w:val="left"/>
            </w:pPr>
          </w:p>
        </w:tc>
      </w:tr>
      <w:tr w:rsidR="0059373B" w14:paraId="61821E36" w14:textId="77777777" w:rsidTr="003A782C">
        <w:trPr>
          <w:cantSplit/>
          <w:trHeight w:hRule="exact" w:val="340"/>
        </w:trPr>
        <w:tc>
          <w:tcPr>
            <w:tcW w:w="3261" w:type="dxa"/>
          </w:tcPr>
          <w:p w14:paraId="61821E33" w14:textId="77777777" w:rsidR="00CC5A17" w:rsidRPr="00A453D8" w:rsidRDefault="00E9069F" w:rsidP="003A782C">
            <w:pPr>
              <w:spacing w:before="0" w:line="259" w:lineRule="auto"/>
            </w:pPr>
            <w:r w:rsidRPr="00A453D8">
              <w:t>Phenylalanine</w:t>
            </w:r>
          </w:p>
        </w:tc>
        <w:tc>
          <w:tcPr>
            <w:tcW w:w="2494" w:type="dxa"/>
          </w:tcPr>
          <w:p w14:paraId="61821E34" w14:textId="77777777" w:rsidR="00CC5A17" w:rsidRPr="00A453D8" w:rsidRDefault="00CC5A17" w:rsidP="003A782C">
            <w:pPr>
              <w:spacing w:before="0" w:line="259" w:lineRule="auto"/>
              <w:jc w:val="left"/>
            </w:pPr>
          </w:p>
        </w:tc>
        <w:tc>
          <w:tcPr>
            <w:tcW w:w="3945" w:type="dxa"/>
          </w:tcPr>
          <w:p w14:paraId="61821E35" w14:textId="77777777" w:rsidR="00CC5A17" w:rsidRPr="00A453D8" w:rsidRDefault="00CC5A17" w:rsidP="003A782C">
            <w:pPr>
              <w:spacing w:before="0" w:line="259" w:lineRule="auto"/>
              <w:jc w:val="left"/>
            </w:pPr>
          </w:p>
        </w:tc>
      </w:tr>
      <w:tr w:rsidR="0059373B" w14:paraId="61821E3A" w14:textId="77777777" w:rsidTr="003A782C">
        <w:trPr>
          <w:cantSplit/>
          <w:trHeight w:hRule="exact" w:val="340"/>
        </w:trPr>
        <w:tc>
          <w:tcPr>
            <w:tcW w:w="3261" w:type="dxa"/>
          </w:tcPr>
          <w:p w14:paraId="61821E37" w14:textId="77777777" w:rsidR="00CC5A17" w:rsidRPr="00A453D8" w:rsidRDefault="00E9069F" w:rsidP="003A782C">
            <w:pPr>
              <w:spacing w:before="0" w:line="259" w:lineRule="auto"/>
            </w:pPr>
            <w:r w:rsidRPr="00A453D8">
              <w:t>Piperidine</w:t>
            </w:r>
          </w:p>
        </w:tc>
        <w:tc>
          <w:tcPr>
            <w:tcW w:w="2494" w:type="dxa"/>
          </w:tcPr>
          <w:p w14:paraId="61821E38" w14:textId="77777777" w:rsidR="00CC5A17" w:rsidRPr="00A453D8" w:rsidRDefault="00CC5A17" w:rsidP="003A782C">
            <w:pPr>
              <w:spacing w:before="0" w:line="259" w:lineRule="auto"/>
              <w:jc w:val="left"/>
            </w:pPr>
          </w:p>
        </w:tc>
        <w:tc>
          <w:tcPr>
            <w:tcW w:w="3945" w:type="dxa"/>
          </w:tcPr>
          <w:p w14:paraId="61821E39" w14:textId="77777777" w:rsidR="00CC5A17" w:rsidRPr="00A453D8" w:rsidRDefault="00CC5A17" w:rsidP="003A782C">
            <w:pPr>
              <w:spacing w:before="0" w:line="259" w:lineRule="auto"/>
              <w:jc w:val="left"/>
            </w:pPr>
          </w:p>
        </w:tc>
      </w:tr>
      <w:tr w:rsidR="0059373B" w14:paraId="61821E3E" w14:textId="77777777" w:rsidTr="003A782C">
        <w:trPr>
          <w:cantSplit/>
          <w:trHeight w:val="397"/>
        </w:trPr>
        <w:tc>
          <w:tcPr>
            <w:tcW w:w="3261" w:type="dxa"/>
          </w:tcPr>
          <w:p w14:paraId="61821E3B" w14:textId="77777777" w:rsidR="00CC5A17" w:rsidRPr="00A453D8" w:rsidRDefault="00E9069F" w:rsidP="003A782C">
            <w:pPr>
              <w:spacing w:before="0" w:line="259" w:lineRule="auto"/>
            </w:pPr>
            <w:r w:rsidRPr="00A453D8">
              <w:t xml:space="preserve">Piperonal </w:t>
            </w:r>
          </w:p>
        </w:tc>
        <w:tc>
          <w:tcPr>
            <w:tcW w:w="2494" w:type="dxa"/>
          </w:tcPr>
          <w:p w14:paraId="61821E3C" w14:textId="77777777" w:rsidR="00CC5A17" w:rsidRPr="00A453D8" w:rsidRDefault="00E9069F" w:rsidP="003A782C">
            <w:pPr>
              <w:spacing w:before="0" w:line="259" w:lineRule="auto"/>
              <w:jc w:val="left"/>
            </w:pPr>
            <w:r w:rsidRPr="00A453D8">
              <w:t>3,</w:t>
            </w:r>
            <w:r w:rsidR="00CE7039">
              <w:t>4</w:t>
            </w:r>
            <w:r w:rsidR="00CE7039">
              <w:noBreakHyphen/>
              <w:t>Methylenedioxy</w:t>
            </w:r>
            <w:r w:rsidR="00CE7039">
              <w:noBreakHyphen/>
              <w:t>benzalde</w:t>
            </w:r>
            <w:r w:rsidRPr="00A453D8">
              <w:t xml:space="preserve">yde, </w:t>
            </w:r>
            <w:proofErr w:type="spellStart"/>
            <w:r w:rsidRPr="00A453D8">
              <w:t>Heliotropine</w:t>
            </w:r>
            <w:proofErr w:type="spellEnd"/>
          </w:p>
        </w:tc>
        <w:tc>
          <w:tcPr>
            <w:tcW w:w="3945" w:type="dxa"/>
          </w:tcPr>
          <w:p w14:paraId="61821E3D" w14:textId="77777777" w:rsidR="00CC5A17" w:rsidRPr="00A453D8" w:rsidRDefault="00E9069F" w:rsidP="003A782C">
            <w:pPr>
              <w:spacing w:before="0" w:line="259" w:lineRule="auto"/>
              <w:jc w:val="left"/>
            </w:pPr>
            <w:r w:rsidRPr="00A453D8">
              <w:t>50 g</w:t>
            </w:r>
          </w:p>
        </w:tc>
      </w:tr>
      <w:tr w:rsidR="0059373B" w14:paraId="61821E42" w14:textId="77777777" w:rsidTr="003A782C">
        <w:trPr>
          <w:cantSplit/>
          <w:trHeight w:hRule="exact" w:val="340"/>
        </w:trPr>
        <w:tc>
          <w:tcPr>
            <w:tcW w:w="3261" w:type="dxa"/>
          </w:tcPr>
          <w:p w14:paraId="61821E3F" w14:textId="77777777" w:rsidR="00CC5A17" w:rsidRPr="00A453D8" w:rsidRDefault="00E9069F" w:rsidP="003A782C">
            <w:pPr>
              <w:spacing w:before="0" w:line="259" w:lineRule="auto"/>
            </w:pPr>
            <w:r w:rsidRPr="00A453D8">
              <w:t xml:space="preserve">Alkali metal </w:t>
            </w:r>
            <w:r w:rsidRPr="00A453D8">
              <w:noBreakHyphen/>
              <w:t xml:space="preserve"> Potassium</w:t>
            </w:r>
          </w:p>
        </w:tc>
        <w:tc>
          <w:tcPr>
            <w:tcW w:w="2494" w:type="dxa"/>
          </w:tcPr>
          <w:p w14:paraId="61821E40" w14:textId="77777777" w:rsidR="00CC5A17" w:rsidRPr="00A453D8" w:rsidRDefault="00CC5A17" w:rsidP="003A782C">
            <w:pPr>
              <w:spacing w:before="0" w:line="259" w:lineRule="auto"/>
              <w:jc w:val="left"/>
            </w:pPr>
          </w:p>
        </w:tc>
        <w:tc>
          <w:tcPr>
            <w:tcW w:w="3945" w:type="dxa"/>
          </w:tcPr>
          <w:p w14:paraId="61821E41" w14:textId="77777777" w:rsidR="00CC5A17" w:rsidRPr="00A453D8" w:rsidRDefault="00CC5A17" w:rsidP="003A782C">
            <w:pPr>
              <w:spacing w:before="0" w:line="259" w:lineRule="auto"/>
              <w:jc w:val="left"/>
            </w:pPr>
          </w:p>
        </w:tc>
      </w:tr>
      <w:tr w:rsidR="0059373B" w14:paraId="61821E46" w14:textId="77777777" w:rsidTr="003A782C">
        <w:trPr>
          <w:cantSplit/>
          <w:trHeight w:hRule="exact" w:val="340"/>
        </w:trPr>
        <w:tc>
          <w:tcPr>
            <w:tcW w:w="3261" w:type="dxa"/>
          </w:tcPr>
          <w:p w14:paraId="61821E43" w14:textId="77777777" w:rsidR="00CC5A17" w:rsidRPr="00A453D8" w:rsidRDefault="00E9069F" w:rsidP="003A782C">
            <w:pPr>
              <w:spacing w:before="0" w:line="259" w:lineRule="auto"/>
            </w:pPr>
            <w:r w:rsidRPr="00A453D8">
              <w:lastRenderedPageBreak/>
              <w:t>Propionic anhydride</w:t>
            </w:r>
          </w:p>
        </w:tc>
        <w:tc>
          <w:tcPr>
            <w:tcW w:w="2494" w:type="dxa"/>
          </w:tcPr>
          <w:p w14:paraId="61821E44" w14:textId="77777777" w:rsidR="00CC5A17" w:rsidRPr="00A453D8" w:rsidRDefault="00CC5A17" w:rsidP="003A782C">
            <w:pPr>
              <w:spacing w:before="0" w:line="259" w:lineRule="auto"/>
              <w:jc w:val="left"/>
            </w:pPr>
          </w:p>
        </w:tc>
        <w:tc>
          <w:tcPr>
            <w:tcW w:w="3945" w:type="dxa"/>
          </w:tcPr>
          <w:p w14:paraId="61821E45" w14:textId="77777777" w:rsidR="00CC5A17" w:rsidRPr="00A453D8" w:rsidRDefault="00CC5A17" w:rsidP="003A782C">
            <w:pPr>
              <w:spacing w:before="0" w:line="259" w:lineRule="auto"/>
              <w:jc w:val="left"/>
            </w:pPr>
          </w:p>
        </w:tc>
      </w:tr>
      <w:tr w:rsidR="0059373B" w14:paraId="61821E4A" w14:textId="77777777" w:rsidTr="003A782C">
        <w:trPr>
          <w:cantSplit/>
          <w:trHeight w:hRule="exact" w:val="340"/>
        </w:trPr>
        <w:tc>
          <w:tcPr>
            <w:tcW w:w="3261" w:type="dxa"/>
          </w:tcPr>
          <w:p w14:paraId="61821E47" w14:textId="77777777" w:rsidR="00CC5A17" w:rsidRPr="00A453D8" w:rsidRDefault="00E9069F" w:rsidP="003A782C">
            <w:pPr>
              <w:spacing w:before="0" w:line="259" w:lineRule="auto"/>
            </w:pPr>
            <w:r w:rsidRPr="00A453D8">
              <w:t>Raney nickel</w:t>
            </w:r>
          </w:p>
        </w:tc>
        <w:tc>
          <w:tcPr>
            <w:tcW w:w="2494" w:type="dxa"/>
          </w:tcPr>
          <w:p w14:paraId="61821E48" w14:textId="77777777" w:rsidR="00CC5A17" w:rsidRPr="00A453D8" w:rsidRDefault="00CC5A17" w:rsidP="003A782C">
            <w:pPr>
              <w:spacing w:before="0" w:line="259" w:lineRule="auto"/>
              <w:jc w:val="left"/>
            </w:pPr>
          </w:p>
        </w:tc>
        <w:tc>
          <w:tcPr>
            <w:tcW w:w="3945" w:type="dxa"/>
          </w:tcPr>
          <w:p w14:paraId="61821E49" w14:textId="77777777" w:rsidR="00CC5A17" w:rsidRPr="00A453D8" w:rsidRDefault="00CC5A17" w:rsidP="003A782C">
            <w:pPr>
              <w:spacing w:before="0" w:line="259" w:lineRule="auto"/>
              <w:jc w:val="left"/>
            </w:pPr>
          </w:p>
        </w:tc>
      </w:tr>
      <w:tr w:rsidR="0059373B" w14:paraId="61821E50" w14:textId="77777777" w:rsidTr="003A782C">
        <w:trPr>
          <w:cantSplit/>
          <w:trHeight w:hRule="exact" w:val="344"/>
        </w:trPr>
        <w:tc>
          <w:tcPr>
            <w:tcW w:w="3261" w:type="dxa"/>
          </w:tcPr>
          <w:p w14:paraId="61821E4B" w14:textId="77777777" w:rsidR="00CC5A17" w:rsidRPr="00A453D8" w:rsidRDefault="00E9069F" w:rsidP="003A782C">
            <w:pPr>
              <w:spacing w:before="0" w:line="259" w:lineRule="auto"/>
            </w:pPr>
            <w:r w:rsidRPr="00A453D8">
              <w:t xml:space="preserve">Safrole </w:t>
            </w:r>
          </w:p>
        </w:tc>
        <w:tc>
          <w:tcPr>
            <w:tcW w:w="2494" w:type="dxa"/>
            <w:tcBorders>
              <w:right w:val="nil"/>
            </w:tcBorders>
          </w:tcPr>
          <w:p w14:paraId="61821E4D" w14:textId="3A76573A" w:rsidR="00CC5A17" w:rsidRPr="00A453D8" w:rsidRDefault="00E9069F" w:rsidP="003A782C">
            <w:pPr>
              <w:spacing w:before="0" w:line="259" w:lineRule="auto"/>
              <w:jc w:val="left"/>
            </w:pPr>
            <w:r w:rsidRPr="00A453D8">
              <w:t>5</w:t>
            </w:r>
            <w:r w:rsidRPr="00A453D8">
              <w:noBreakHyphen/>
              <w:t>(2</w:t>
            </w:r>
            <w:r w:rsidRPr="00A453D8">
              <w:noBreakHyphen/>
            </w:r>
            <w:proofErr w:type="gramStart"/>
            <w:r w:rsidRPr="00A453D8">
              <w:t>Propenyl)</w:t>
            </w:r>
            <w:r w:rsidRPr="00A453D8">
              <w:noBreakHyphen/>
            </w:r>
            <w:proofErr w:type="gramEnd"/>
            <w:r w:rsidRPr="00A453D8">
              <w:t>1, 3</w:t>
            </w:r>
            <w:r w:rsidRPr="00A453D8">
              <w:noBreakHyphen/>
              <w:t>Benzodioxide</w:t>
            </w:r>
          </w:p>
        </w:tc>
        <w:tc>
          <w:tcPr>
            <w:tcW w:w="3945" w:type="dxa"/>
            <w:tcBorders>
              <w:top w:val="single" w:sz="4" w:space="0" w:color="auto"/>
              <w:left w:val="nil"/>
              <w:bottom w:val="single" w:sz="4" w:space="0" w:color="auto"/>
            </w:tcBorders>
          </w:tcPr>
          <w:p w14:paraId="61821E4F" w14:textId="68FD1978" w:rsidR="00CC5A17" w:rsidRPr="00A453D8" w:rsidRDefault="00E9069F" w:rsidP="003A782C">
            <w:pPr>
              <w:spacing w:before="0" w:line="259" w:lineRule="auto"/>
              <w:jc w:val="left"/>
            </w:pPr>
            <w:r w:rsidRPr="00A453D8">
              <w:t>69 ml</w:t>
            </w:r>
          </w:p>
        </w:tc>
      </w:tr>
      <w:tr w:rsidR="0059373B" w14:paraId="61821E54" w14:textId="77777777" w:rsidTr="003A782C">
        <w:trPr>
          <w:cantSplit/>
          <w:trHeight w:hRule="exact" w:val="340"/>
        </w:trPr>
        <w:tc>
          <w:tcPr>
            <w:tcW w:w="3261" w:type="dxa"/>
            <w:tcBorders>
              <w:top w:val="single" w:sz="4" w:space="0" w:color="auto"/>
            </w:tcBorders>
          </w:tcPr>
          <w:p w14:paraId="61821E51" w14:textId="77777777" w:rsidR="00CC5A17" w:rsidRPr="00A453D8" w:rsidRDefault="00E9069F" w:rsidP="003A782C">
            <w:pPr>
              <w:spacing w:before="0" w:line="259" w:lineRule="auto"/>
            </w:pPr>
            <w:r w:rsidRPr="00A453D8">
              <w:t>Sassafras oil</w:t>
            </w:r>
          </w:p>
        </w:tc>
        <w:tc>
          <w:tcPr>
            <w:tcW w:w="2494" w:type="dxa"/>
            <w:tcBorders>
              <w:top w:val="single" w:sz="4" w:space="0" w:color="auto"/>
            </w:tcBorders>
          </w:tcPr>
          <w:p w14:paraId="61821E52" w14:textId="77777777" w:rsidR="00CC5A17" w:rsidRPr="00A453D8" w:rsidRDefault="00CC5A17" w:rsidP="003A782C">
            <w:pPr>
              <w:spacing w:before="0" w:line="259" w:lineRule="auto"/>
              <w:jc w:val="left"/>
            </w:pPr>
          </w:p>
        </w:tc>
        <w:tc>
          <w:tcPr>
            <w:tcW w:w="3945" w:type="dxa"/>
            <w:tcBorders>
              <w:top w:val="single" w:sz="4" w:space="0" w:color="auto"/>
            </w:tcBorders>
          </w:tcPr>
          <w:p w14:paraId="61821E53" w14:textId="77777777" w:rsidR="00CC5A17" w:rsidRPr="00A453D8" w:rsidRDefault="00E9069F" w:rsidP="003A782C">
            <w:pPr>
              <w:spacing w:before="0" w:line="259" w:lineRule="auto"/>
              <w:jc w:val="left"/>
            </w:pPr>
            <w:r w:rsidRPr="00A453D8">
              <w:t>91 ml</w:t>
            </w:r>
          </w:p>
        </w:tc>
      </w:tr>
      <w:tr w:rsidR="0059373B" w14:paraId="61821E58" w14:textId="77777777" w:rsidTr="003A782C">
        <w:trPr>
          <w:cantSplit/>
          <w:trHeight w:hRule="exact" w:val="340"/>
        </w:trPr>
        <w:tc>
          <w:tcPr>
            <w:tcW w:w="3261" w:type="dxa"/>
          </w:tcPr>
          <w:p w14:paraId="61821E55" w14:textId="77777777" w:rsidR="00CC5A17" w:rsidRPr="00A453D8" w:rsidRDefault="00E9069F" w:rsidP="003A782C">
            <w:pPr>
              <w:spacing w:before="0" w:line="259" w:lineRule="auto"/>
            </w:pPr>
            <w:r w:rsidRPr="00A453D8">
              <w:t>Sodium Borohydride</w:t>
            </w:r>
          </w:p>
        </w:tc>
        <w:tc>
          <w:tcPr>
            <w:tcW w:w="2494" w:type="dxa"/>
          </w:tcPr>
          <w:p w14:paraId="61821E56" w14:textId="77777777" w:rsidR="00CC5A17" w:rsidRPr="00A453D8" w:rsidRDefault="00CC5A17" w:rsidP="003A782C">
            <w:pPr>
              <w:spacing w:before="0" w:line="259" w:lineRule="auto"/>
              <w:jc w:val="left"/>
            </w:pPr>
          </w:p>
        </w:tc>
        <w:tc>
          <w:tcPr>
            <w:tcW w:w="3945" w:type="dxa"/>
          </w:tcPr>
          <w:p w14:paraId="61821E57" w14:textId="77777777" w:rsidR="00CC5A17" w:rsidRPr="00A453D8" w:rsidRDefault="00CC5A17" w:rsidP="003A782C">
            <w:pPr>
              <w:spacing w:before="0" w:line="259" w:lineRule="auto"/>
              <w:jc w:val="left"/>
            </w:pPr>
          </w:p>
        </w:tc>
      </w:tr>
      <w:tr w:rsidR="0059373B" w14:paraId="61821E5C" w14:textId="77777777" w:rsidTr="003A782C">
        <w:trPr>
          <w:cantSplit/>
          <w:trHeight w:hRule="exact" w:val="340"/>
        </w:trPr>
        <w:tc>
          <w:tcPr>
            <w:tcW w:w="3261" w:type="dxa"/>
          </w:tcPr>
          <w:p w14:paraId="61821E59" w14:textId="77777777" w:rsidR="00CC5A17" w:rsidRPr="00A453D8" w:rsidRDefault="00E9069F" w:rsidP="003A782C">
            <w:pPr>
              <w:spacing w:before="0" w:line="259" w:lineRule="auto"/>
            </w:pPr>
            <w:r w:rsidRPr="00A453D8">
              <w:t xml:space="preserve">Alkali metal </w:t>
            </w:r>
            <w:r w:rsidRPr="00A453D8">
              <w:noBreakHyphen/>
              <w:t xml:space="preserve"> Sodium</w:t>
            </w:r>
          </w:p>
        </w:tc>
        <w:tc>
          <w:tcPr>
            <w:tcW w:w="2494" w:type="dxa"/>
          </w:tcPr>
          <w:p w14:paraId="61821E5A" w14:textId="77777777" w:rsidR="00CC5A17" w:rsidRPr="00A453D8" w:rsidRDefault="00CC5A17" w:rsidP="003A782C">
            <w:pPr>
              <w:spacing w:before="0" w:line="259" w:lineRule="auto"/>
              <w:jc w:val="left"/>
            </w:pPr>
          </w:p>
        </w:tc>
        <w:tc>
          <w:tcPr>
            <w:tcW w:w="3945" w:type="dxa"/>
          </w:tcPr>
          <w:p w14:paraId="61821E5B" w14:textId="77777777" w:rsidR="00CC5A17" w:rsidRPr="00A453D8" w:rsidRDefault="00E9069F" w:rsidP="003A782C">
            <w:pPr>
              <w:spacing w:before="0" w:line="259" w:lineRule="auto"/>
              <w:jc w:val="left"/>
            </w:pPr>
            <w:r w:rsidRPr="00A453D8">
              <w:t>24 g</w:t>
            </w:r>
          </w:p>
        </w:tc>
      </w:tr>
      <w:tr w:rsidR="0059373B" w14:paraId="61821E60" w14:textId="77777777" w:rsidTr="003A782C">
        <w:trPr>
          <w:cantSplit/>
          <w:trHeight w:hRule="exact" w:val="340"/>
        </w:trPr>
        <w:tc>
          <w:tcPr>
            <w:tcW w:w="3261" w:type="dxa"/>
          </w:tcPr>
          <w:p w14:paraId="61821E5D" w14:textId="77777777" w:rsidR="00CC5A17" w:rsidRPr="00A453D8" w:rsidRDefault="00E9069F" w:rsidP="003A782C">
            <w:pPr>
              <w:spacing w:before="0" w:line="259" w:lineRule="auto"/>
            </w:pPr>
            <w:r w:rsidRPr="00A453D8">
              <w:t>Thionyl chloride</w:t>
            </w:r>
          </w:p>
        </w:tc>
        <w:tc>
          <w:tcPr>
            <w:tcW w:w="2494" w:type="dxa"/>
          </w:tcPr>
          <w:p w14:paraId="61821E5E" w14:textId="77777777" w:rsidR="00CC5A17" w:rsidRPr="00A453D8" w:rsidRDefault="00CC5A17" w:rsidP="003A782C">
            <w:pPr>
              <w:spacing w:before="0" w:line="259" w:lineRule="auto"/>
              <w:jc w:val="left"/>
            </w:pPr>
          </w:p>
        </w:tc>
        <w:tc>
          <w:tcPr>
            <w:tcW w:w="3945" w:type="dxa"/>
          </w:tcPr>
          <w:p w14:paraId="61821E5F" w14:textId="77777777" w:rsidR="00CC5A17" w:rsidRPr="00A453D8" w:rsidRDefault="00CC5A17" w:rsidP="003A782C">
            <w:pPr>
              <w:spacing w:before="0" w:line="259" w:lineRule="auto"/>
              <w:jc w:val="left"/>
            </w:pPr>
          </w:p>
        </w:tc>
      </w:tr>
      <w:tr w:rsidR="0059373B" w14:paraId="61821E64" w14:textId="77777777" w:rsidTr="003A782C">
        <w:trPr>
          <w:cantSplit/>
          <w:trHeight w:hRule="exact" w:val="340"/>
        </w:trPr>
        <w:tc>
          <w:tcPr>
            <w:tcW w:w="3261" w:type="dxa"/>
          </w:tcPr>
          <w:p w14:paraId="61821E61" w14:textId="77777777" w:rsidR="00CC5A17" w:rsidRPr="00A453D8" w:rsidRDefault="00E9069F" w:rsidP="003A782C">
            <w:pPr>
              <w:spacing w:before="0" w:line="259" w:lineRule="auto"/>
            </w:pPr>
            <w:r w:rsidRPr="00A453D8">
              <w:t>Thorium (including salts)</w:t>
            </w:r>
          </w:p>
        </w:tc>
        <w:tc>
          <w:tcPr>
            <w:tcW w:w="2494" w:type="dxa"/>
          </w:tcPr>
          <w:p w14:paraId="61821E62" w14:textId="77777777" w:rsidR="00CC5A17" w:rsidRPr="00A453D8" w:rsidRDefault="00CC5A17" w:rsidP="003A782C">
            <w:pPr>
              <w:spacing w:before="0" w:line="259" w:lineRule="auto"/>
              <w:jc w:val="left"/>
            </w:pPr>
          </w:p>
        </w:tc>
        <w:tc>
          <w:tcPr>
            <w:tcW w:w="3945" w:type="dxa"/>
          </w:tcPr>
          <w:p w14:paraId="61821E63" w14:textId="77777777" w:rsidR="00CC5A17" w:rsidRPr="00A453D8" w:rsidRDefault="00CC5A17" w:rsidP="003A782C">
            <w:pPr>
              <w:spacing w:before="0" w:line="259" w:lineRule="auto"/>
              <w:jc w:val="left"/>
            </w:pPr>
          </w:p>
        </w:tc>
      </w:tr>
    </w:tbl>
    <w:p w14:paraId="61821E65" w14:textId="77777777" w:rsidR="00CC5A17" w:rsidRDefault="00E9069F" w:rsidP="00CC5A17">
      <w:pPr>
        <w:rPr>
          <w:i/>
        </w:rPr>
      </w:pPr>
      <w:r w:rsidRPr="00A453D8">
        <w:rPr>
          <w:i/>
        </w:rPr>
        <w:tab/>
      </w:r>
      <w:bookmarkStart w:id="674" w:name="_Toc421523609"/>
      <w:bookmarkStart w:id="675" w:name="_Toc421523658"/>
    </w:p>
    <w:p w14:paraId="61821E66" w14:textId="77777777" w:rsidR="00CC5A17" w:rsidRPr="00A453D8" w:rsidRDefault="00E9069F" w:rsidP="00CC5A17">
      <w:pPr>
        <w:keepLines w:val="0"/>
        <w:spacing w:before="0" w:after="160" w:line="259" w:lineRule="auto"/>
        <w:jc w:val="left"/>
        <w:rPr>
          <w:b/>
        </w:rPr>
      </w:pPr>
      <w:r w:rsidRPr="00A453D8">
        <w:rPr>
          <w:b/>
        </w:rPr>
        <w:t>Division 2</w:t>
      </w:r>
      <w:r w:rsidRPr="00A453D8">
        <w:t> — </w:t>
      </w:r>
      <w:r w:rsidRPr="00A453D8">
        <w:rPr>
          <w:b/>
        </w:rPr>
        <w:t>Things</w:t>
      </w:r>
      <w:bookmarkEnd w:id="674"/>
      <w:bookmarkEnd w:id="675"/>
    </w:p>
    <w:tbl>
      <w:tblPr>
        <w:tblW w:w="9781" w:type="dxa"/>
        <w:tblBorders>
          <w:top w:val="single" w:sz="4" w:space="0" w:color="auto"/>
          <w:bottom w:val="single" w:sz="4" w:space="0" w:color="auto"/>
          <w:insideH w:val="single" w:sz="4" w:space="0" w:color="auto"/>
        </w:tblBorders>
        <w:tblCellMar>
          <w:top w:w="57" w:type="dxa"/>
          <w:bottom w:w="57" w:type="dxa"/>
        </w:tblCellMar>
        <w:tblLook w:val="0000" w:firstRow="0" w:lastRow="0" w:firstColumn="0" w:lastColumn="0" w:noHBand="0" w:noVBand="0"/>
      </w:tblPr>
      <w:tblGrid>
        <w:gridCol w:w="4820"/>
        <w:gridCol w:w="4961"/>
      </w:tblGrid>
      <w:tr w:rsidR="0059373B" w14:paraId="61821E69" w14:textId="77777777" w:rsidTr="003A782C">
        <w:trPr>
          <w:tblHeader/>
        </w:trPr>
        <w:tc>
          <w:tcPr>
            <w:tcW w:w="4820" w:type="dxa"/>
          </w:tcPr>
          <w:p w14:paraId="61821E67" w14:textId="50C702C9" w:rsidR="00CC5A17" w:rsidRPr="00A453D8" w:rsidRDefault="00E9069F" w:rsidP="003A782C">
            <w:pPr>
              <w:spacing w:before="0"/>
              <w:rPr>
                <w:b/>
              </w:rPr>
            </w:pPr>
            <w:r w:rsidRPr="00A453D8">
              <w:rPr>
                <w:b/>
              </w:rPr>
              <w:t>Description</w:t>
            </w:r>
          </w:p>
        </w:tc>
        <w:tc>
          <w:tcPr>
            <w:tcW w:w="4961" w:type="dxa"/>
          </w:tcPr>
          <w:p w14:paraId="61821E68" w14:textId="77777777" w:rsidR="00CC5A17" w:rsidRPr="00A453D8" w:rsidRDefault="00E9069F" w:rsidP="003A782C">
            <w:pPr>
              <w:spacing w:before="0"/>
              <w:rPr>
                <w:b/>
              </w:rPr>
            </w:pPr>
            <w:r w:rsidRPr="00A453D8">
              <w:rPr>
                <w:b/>
              </w:rPr>
              <w:t>Details</w:t>
            </w:r>
          </w:p>
        </w:tc>
      </w:tr>
      <w:tr w:rsidR="0059373B" w14:paraId="61821E6C" w14:textId="77777777" w:rsidTr="003A782C">
        <w:tc>
          <w:tcPr>
            <w:tcW w:w="4820" w:type="dxa"/>
          </w:tcPr>
          <w:p w14:paraId="61821E6A" w14:textId="77777777" w:rsidR="00CC5A17" w:rsidRPr="00A453D8" w:rsidRDefault="00E9069F" w:rsidP="003A782C">
            <w:pPr>
              <w:spacing w:before="0"/>
            </w:pPr>
            <w:r w:rsidRPr="00A453D8">
              <w:t>Gas cylinder containing hydrogen sulphide gas</w:t>
            </w:r>
          </w:p>
        </w:tc>
        <w:tc>
          <w:tcPr>
            <w:tcW w:w="4961" w:type="dxa"/>
          </w:tcPr>
          <w:p w14:paraId="61821E6B" w14:textId="77777777" w:rsidR="00CC5A17" w:rsidRPr="00A453D8" w:rsidRDefault="00CC5A17" w:rsidP="003A782C">
            <w:pPr>
              <w:spacing w:before="0"/>
            </w:pPr>
          </w:p>
        </w:tc>
      </w:tr>
      <w:tr w:rsidR="0059373B" w14:paraId="61821E6F" w14:textId="77777777" w:rsidTr="003A782C">
        <w:tc>
          <w:tcPr>
            <w:tcW w:w="4820" w:type="dxa"/>
          </w:tcPr>
          <w:p w14:paraId="61821E6D" w14:textId="77777777" w:rsidR="00CC5A17" w:rsidRPr="00A453D8" w:rsidRDefault="00E9069F" w:rsidP="003A782C">
            <w:pPr>
              <w:spacing w:before="0"/>
            </w:pPr>
            <w:r w:rsidRPr="00A453D8">
              <w:t>Gas cylinder containing hydrogen gas</w:t>
            </w:r>
          </w:p>
        </w:tc>
        <w:tc>
          <w:tcPr>
            <w:tcW w:w="4961" w:type="dxa"/>
          </w:tcPr>
          <w:p w14:paraId="61821E6E" w14:textId="77777777" w:rsidR="00CC5A17" w:rsidRPr="00A453D8" w:rsidRDefault="00CC5A17" w:rsidP="003A782C">
            <w:pPr>
              <w:spacing w:before="0"/>
            </w:pPr>
          </w:p>
        </w:tc>
      </w:tr>
      <w:tr w:rsidR="0059373B" w14:paraId="61821E72" w14:textId="77777777" w:rsidTr="003A782C">
        <w:tc>
          <w:tcPr>
            <w:tcW w:w="4820" w:type="dxa"/>
            <w:tcBorders>
              <w:bottom w:val="single" w:sz="4" w:space="0" w:color="auto"/>
            </w:tcBorders>
          </w:tcPr>
          <w:p w14:paraId="61821E70" w14:textId="77777777" w:rsidR="00CC5A17" w:rsidRPr="00A453D8" w:rsidRDefault="00E9069F" w:rsidP="003A782C">
            <w:pPr>
              <w:spacing w:before="0"/>
            </w:pPr>
            <w:r w:rsidRPr="00A453D8">
              <w:t>Gas cylinder containing methylamine gas</w:t>
            </w:r>
          </w:p>
        </w:tc>
        <w:tc>
          <w:tcPr>
            <w:tcW w:w="4961" w:type="dxa"/>
            <w:tcBorders>
              <w:bottom w:val="single" w:sz="4" w:space="0" w:color="auto"/>
            </w:tcBorders>
          </w:tcPr>
          <w:p w14:paraId="61821E71" w14:textId="77777777" w:rsidR="00CC5A17" w:rsidRPr="00A453D8" w:rsidRDefault="00CC5A17" w:rsidP="003A782C">
            <w:pPr>
              <w:spacing w:before="0"/>
            </w:pPr>
          </w:p>
        </w:tc>
      </w:tr>
      <w:tr w:rsidR="0059373B" w14:paraId="61821E75" w14:textId="77777777" w:rsidTr="003A782C">
        <w:tc>
          <w:tcPr>
            <w:tcW w:w="4820" w:type="dxa"/>
            <w:tcBorders>
              <w:bottom w:val="nil"/>
            </w:tcBorders>
          </w:tcPr>
          <w:p w14:paraId="61821E73" w14:textId="77777777" w:rsidR="00CC5A17" w:rsidRPr="00A453D8" w:rsidRDefault="00CC5A17" w:rsidP="003A782C">
            <w:pPr>
              <w:spacing w:before="0"/>
            </w:pPr>
          </w:p>
        </w:tc>
        <w:tc>
          <w:tcPr>
            <w:tcW w:w="4961" w:type="dxa"/>
            <w:tcBorders>
              <w:bottom w:val="nil"/>
            </w:tcBorders>
          </w:tcPr>
          <w:p w14:paraId="61821E74" w14:textId="77777777" w:rsidR="00CC5A17" w:rsidRPr="00A453D8" w:rsidRDefault="00CC5A17" w:rsidP="003A782C">
            <w:pPr>
              <w:spacing w:before="0"/>
            </w:pPr>
          </w:p>
        </w:tc>
      </w:tr>
      <w:tr w:rsidR="0059373B" w14:paraId="61821E78" w14:textId="77777777" w:rsidTr="003A782C">
        <w:tc>
          <w:tcPr>
            <w:tcW w:w="4820" w:type="dxa"/>
          </w:tcPr>
          <w:p w14:paraId="61821E76" w14:textId="77777777" w:rsidR="00CC5A17" w:rsidRPr="00A453D8" w:rsidRDefault="00E9069F" w:rsidP="003A782C">
            <w:pPr>
              <w:spacing w:before="0"/>
              <w:rPr>
                <w:b/>
              </w:rPr>
            </w:pPr>
            <w:r w:rsidRPr="00A453D8">
              <w:rPr>
                <w:b/>
              </w:rPr>
              <w:t>Description</w:t>
            </w:r>
          </w:p>
        </w:tc>
        <w:tc>
          <w:tcPr>
            <w:tcW w:w="4961" w:type="dxa"/>
          </w:tcPr>
          <w:p w14:paraId="61821E77" w14:textId="77777777" w:rsidR="00CC5A17" w:rsidRPr="00A453D8" w:rsidRDefault="00E9069F" w:rsidP="003A782C">
            <w:pPr>
              <w:spacing w:before="0"/>
              <w:rPr>
                <w:b/>
              </w:rPr>
            </w:pPr>
            <w:r w:rsidRPr="00A453D8">
              <w:rPr>
                <w:b/>
              </w:rPr>
              <w:t>Details</w:t>
            </w:r>
          </w:p>
        </w:tc>
      </w:tr>
      <w:tr w:rsidR="0059373B" w14:paraId="61821E7B" w14:textId="77777777" w:rsidTr="003A782C">
        <w:tc>
          <w:tcPr>
            <w:tcW w:w="4820" w:type="dxa"/>
            <w:tcBorders>
              <w:top w:val="nil"/>
            </w:tcBorders>
          </w:tcPr>
          <w:p w14:paraId="61821E79" w14:textId="77777777" w:rsidR="00CC5A17" w:rsidRPr="00A453D8" w:rsidRDefault="00E9069F" w:rsidP="003A782C">
            <w:pPr>
              <w:spacing w:before="0"/>
            </w:pPr>
            <w:r w:rsidRPr="00A453D8">
              <w:t>Round bottom reaction flask</w:t>
            </w:r>
          </w:p>
        </w:tc>
        <w:tc>
          <w:tcPr>
            <w:tcW w:w="4961" w:type="dxa"/>
            <w:tcBorders>
              <w:top w:val="nil"/>
            </w:tcBorders>
          </w:tcPr>
          <w:p w14:paraId="61821E7A" w14:textId="77777777" w:rsidR="00CC5A17" w:rsidRPr="00A453D8" w:rsidRDefault="00E9069F" w:rsidP="003A782C">
            <w:pPr>
              <w:spacing w:before="0"/>
            </w:pPr>
            <w:r w:rsidRPr="00A453D8">
              <w:t>Capacity 500 ml or greater (including the repair or modification)</w:t>
            </w:r>
          </w:p>
        </w:tc>
      </w:tr>
      <w:tr w:rsidR="0059373B" w14:paraId="61821E7E" w14:textId="77777777" w:rsidTr="003A782C">
        <w:tc>
          <w:tcPr>
            <w:tcW w:w="4820" w:type="dxa"/>
          </w:tcPr>
          <w:p w14:paraId="61821E7C" w14:textId="77777777" w:rsidR="00CC5A17" w:rsidRPr="00A453D8" w:rsidRDefault="00E9069F" w:rsidP="003A782C">
            <w:pPr>
              <w:spacing w:before="0"/>
            </w:pPr>
            <w:r w:rsidRPr="00A453D8">
              <w:t>Condenser</w:t>
            </w:r>
          </w:p>
        </w:tc>
        <w:tc>
          <w:tcPr>
            <w:tcW w:w="4961" w:type="dxa"/>
          </w:tcPr>
          <w:p w14:paraId="61821E7D" w14:textId="77777777" w:rsidR="00CC5A17" w:rsidRPr="00A453D8" w:rsidRDefault="00E9069F" w:rsidP="003A782C">
            <w:pPr>
              <w:spacing w:before="0"/>
            </w:pPr>
            <w:r w:rsidRPr="00A453D8">
              <w:t>Joint size B19 or greater</w:t>
            </w:r>
          </w:p>
        </w:tc>
      </w:tr>
      <w:tr w:rsidR="0059373B" w14:paraId="61821E81" w14:textId="77777777" w:rsidTr="003A782C">
        <w:tc>
          <w:tcPr>
            <w:tcW w:w="4820" w:type="dxa"/>
          </w:tcPr>
          <w:p w14:paraId="61821E7F" w14:textId="77777777" w:rsidR="00CC5A17" w:rsidRPr="00A453D8" w:rsidRDefault="00E9069F" w:rsidP="003A782C">
            <w:pPr>
              <w:spacing w:before="0"/>
            </w:pPr>
            <w:r w:rsidRPr="00A453D8">
              <w:t>Splash heads and distillation heads</w:t>
            </w:r>
          </w:p>
        </w:tc>
        <w:tc>
          <w:tcPr>
            <w:tcW w:w="4961" w:type="dxa"/>
          </w:tcPr>
          <w:p w14:paraId="61821E80" w14:textId="77777777" w:rsidR="00CC5A17" w:rsidRPr="00A453D8" w:rsidRDefault="00CC5A17" w:rsidP="003A782C">
            <w:pPr>
              <w:spacing w:before="0"/>
            </w:pPr>
          </w:p>
        </w:tc>
      </w:tr>
      <w:tr w:rsidR="0059373B" w14:paraId="61821E84" w14:textId="77777777" w:rsidTr="003A782C">
        <w:tc>
          <w:tcPr>
            <w:tcW w:w="4820" w:type="dxa"/>
          </w:tcPr>
          <w:p w14:paraId="61821E82" w14:textId="77777777" w:rsidR="00CC5A17" w:rsidRPr="00A453D8" w:rsidRDefault="00CC5A17" w:rsidP="003A782C">
            <w:pPr>
              <w:spacing w:before="0"/>
            </w:pPr>
          </w:p>
        </w:tc>
        <w:tc>
          <w:tcPr>
            <w:tcW w:w="4961" w:type="dxa"/>
          </w:tcPr>
          <w:p w14:paraId="61821E83" w14:textId="77777777" w:rsidR="00CC5A17" w:rsidRPr="00A453D8" w:rsidRDefault="00CC5A17" w:rsidP="003A782C">
            <w:pPr>
              <w:spacing w:before="0"/>
            </w:pPr>
          </w:p>
        </w:tc>
      </w:tr>
      <w:tr w:rsidR="0059373B" w14:paraId="61821E8A" w14:textId="77777777" w:rsidTr="003A782C">
        <w:tc>
          <w:tcPr>
            <w:tcW w:w="4820" w:type="dxa"/>
          </w:tcPr>
          <w:p w14:paraId="61821E88" w14:textId="77777777" w:rsidR="00CC5A17" w:rsidRPr="00A453D8" w:rsidRDefault="00E9069F" w:rsidP="003A782C">
            <w:pPr>
              <w:spacing w:before="0"/>
            </w:pPr>
            <w:r w:rsidRPr="00A453D8">
              <w:t>Heating mantles</w:t>
            </w:r>
          </w:p>
        </w:tc>
        <w:tc>
          <w:tcPr>
            <w:tcW w:w="4961" w:type="dxa"/>
          </w:tcPr>
          <w:p w14:paraId="61821E89" w14:textId="77777777" w:rsidR="00CC5A17" w:rsidRPr="00A453D8" w:rsidRDefault="00E9069F" w:rsidP="003A782C">
            <w:pPr>
              <w:spacing w:before="0"/>
            </w:pPr>
            <w:r w:rsidRPr="00A453D8">
              <w:t>Capacity 500 ml or greater (including the repair or supply of parts)</w:t>
            </w:r>
          </w:p>
        </w:tc>
      </w:tr>
      <w:tr w:rsidR="0059373B" w14:paraId="61821E8D" w14:textId="77777777" w:rsidTr="003A782C">
        <w:tc>
          <w:tcPr>
            <w:tcW w:w="4820" w:type="dxa"/>
          </w:tcPr>
          <w:p w14:paraId="61821E8B" w14:textId="77777777" w:rsidR="00CC5A17" w:rsidRPr="00A453D8" w:rsidRDefault="00E9069F" w:rsidP="003A782C">
            <w:pPr>
              <w:spacing w:before="0"/>
            </w:pPr>
            <w:proofErr w:type="spellStart"/>
            <w:r w:rsidRPr="00A453D8">
              <w:t>Encapsulators</w:t>
            </w:r>
            <w:proofErr w:type="spellEnd"/>
            <w:r w:rsidRPr="00A453D8">
              <w:t xml:space="preserve"> (Capsule filling machines)</w:t>
            </w:r>
          </w:p>
        </w:tc>
        <w:tc>
          <w:tcPr>
            <w:tcW w:w="4961" w:type="dxa"/>
          </w:tcPr>
          <w:p w14:paraId="61821E8C" w14:textId="77777777" w:rsidR="00CC5A17" w:rsidRPr="00A453D8" w:rsidRDefault="00E9069F" w:rsidP="003A782C">
            <w:pPr>
              <w:spacing w:before="0"/>
            </w:pPr>
            <w:r w:rsidRPr="00A453D8">
              <w:t>Manual or mechanical</w:t>
            </w:r>
          </w:p>
        </w:tc>
      </w:tr>
      <w:tr w:rsidR="0059373B" w14:paraId="61821E90" w14:textId="77777777" w:rsidTr="003A782C">
        <w:tc>
          <w:tcPr>
            <w:tcW w:w="4820" w:type="dxa"/>
          </w:tcPr>
          <w:p w14:paraId="61821E8E" w14:textId="77777777" w:rsidR="00CC5A17" w:rsidRPr="00A453D8" w:rsidRDefault="00E9069F" w:rsidP="003A782C">
            <w:pPr>
              <w:spacing w:before="0"/>
            </w:pPr>
            <w:r w:rsidRPr="00A453D8">
              <w:t>Pill presses (including a part for a pill press)</w:t>
            </w:r>
          </w:p>
        </w:tc>
        <w:tc>
          <w:tcPr>
            <w:tcW w:w="4961" w:type="dxa"/>
          </w:tcPr>
          <w:p w14:paraId="61821E8F" w14:textId="77777777" w:rsidR="00CC5A17" w:rsidRPr="00A453D8" w:rsidRDefault="00E9069F" w:rsidP="003A782C">
            <w:pPr>
              <w:spacing w:before="0"/>
            </w:pPr>
            <w:r w:rsidRPr="00A453D8">
              <w:t>Manual or mechanical</w:t>
            </w:r>
          </w:p>
        </w:tc>
      </w:tr>
      <w:tr w:rsidR="0059373B" w14:paraId="61821E93" w14:textId="77777777" w:rsidTr="003A782C">
        <w:tc>
          <w:tcPr>
            <w:tcW w:w="4820" w:type="dxa"/>
          </w:tcPr>
          <w:p w14:paraId="61821E91" w14:textId="77777777" w:rsidR="00CC5A17" w:rsidRPr="00A453D8" w:rsidRDefault="00E9069F" w:rsidP="003A782C">
            <w:pPr>
              <w:spacing w:before="0"/>
            </w:pPr>
            <w:r w:rsidRPr="00A453D8">
              <w:t>Rotary evaporators</w:t>
            </w:r>
          </w:p>
        </w:tc>
        <w:tc>
          <w:tcPr>
            <w:tcW w:w="4961" w:type="dxa"/>
          </w:tcPr>
          <w:p w14:paraId="61821E92" w14:textId="77777777" w:rsidR="00CC5A17" w:rsidRPr="00A453D8" w:rsidRDefault="00CC5A17" w:rsidP="003A782C">
            <w:pPr>
              <w:spacing w:before="0"/>
            </w:pPr>
          </w:p>
        </w:tc>
      </w:tr>
    </w:tbl>
    <w:p w14:paraId="61821E94" w14:textId="77777777" w:rsidR="00CC5A17" w:rsidRPr="00A453D8" w:rsidRDefault="00E9069F" w:rsidP="00CC5A17">
      <w:pPr>
        <w:keepLines w:val="0"/>
        <w:spacing w:before="0" w:after="160" w:line="259" w:lineRule="auto"/>
        <w:rPr>
          <w:i/>
        </w:rPr>
      </w:pPr>
      <w:r w:rsidRPr="00A453D8">
        <w:rPr>
          <w:i/>
        </w:rPr>
        <w:tab/>
      </w:r>
    </w:p>
    <w:p w14:paraId="61821E95" w14:textId="7DC2ABF6" w:rsidR="00CC5A17" w:rsidRPr="00CC5A17" w:rsidRDefault="00D737C4" w:rsidP="005E44A4">
      <w:pPr>
        <w:pStyle w:val="Heading2"/>
      </w:pPr>
      <w:bookmarkStart w:id="676" w:name="_Toc19005620"/>
      <w:bookmarkStart w:id="677" w:name="_Toc101439056"/>
      <w:r>
        <w:t>2</w:t>
      </w:r>
      <w:r w:rsidR="00071384">
        <w:t>5</w:t>
      </w:r>
      <w:r w:rsidR="00E9069F">
        <w:t xml:space="preserve">.4   </w:t>
      </w:r>
      <w:r w:rsidR="00E9069F" w:rsidRPr="00CC5A17">
        <w:t>Legislation</w:t>
      </w:r>
      <w:bookmarkEnd w:id="676"/>
      <w:bookmarkEnd w:id="677"/>
      <w:r w:rsidR="00E9069F" w:rsidRPr="00CC5A17">
        <w:t xml:space="preserve"> </w:t>
      </w:r>
    </w:p>
    <w:p w14:paraId="61821E96" w14:textId="77777777" w:rsidR="00CC5A17" w:rsidRPr="00CC5A17" w:rsidRDefault="00E9069F" w:rsidP="002D2118">
      <w:pPr>
        <w:pStyle w:val="Bullet1"/>
      </w:pPr>
      <w:r w:rsidRPr="00CC5A17">
        <w:t xml:space="preserve">Misuse of Drugs Act 1981 (WA) </w:t>
      </w:r>
    </w:p>
    <w:p w14:paraId="61821E97" w14:textId="77777777" w:rsidR="00CC5A17" w:rsidRPr="00CC5A17" w:rsidRDefault="00E9069F" w:rsidP="002D2118">
      <w:pPr>
        <w:pStyle w:val="Bullet1"/>
      </w:pPr>
      <w:r w:rsidRPr="00CC5A17">
        <w:t xml:space="preserve">Misuse of Drugs Regulations 1982 (WA) </w:t>
      </w:r>
    </w:p>
    <w:p w14:paraId="61821E98" w14:textId="77777777" w:rsidR="00CC5A17" w:rsidRDefault="00E9069F" w:rsidP="001D4A41">
      <w:pPr>
        <w:pStyle w:val="Bullet1"/>
      </w:pPr>
      <w:r w:rsidRPr="00CC5A17">
        <w:t>Code of Practice for Supple Diversion into Il</w:t>
      </w:r>
      <w:r w:rsidR="00CE7039">
        <w:t xml:space="preserve">licit Drug Manufacture (PACIA) </w:t>
      </w:r>
    </w:p>
    <w:p w14:paraId="61821E99" w14:textId="762428A2" w:rsidR="003E319D" w:rsidRDefault="00E9069F" w:rsidP="00D62420">
      <w:pPr>
        <w:pStyle w:val="Heading1"/>
        <w:numPr>
          <w:ilvl w:val="0"/>
          <w:numId w:val="13"/>
        </w:numPr>
        <w:ind w:left="360"/>
      </w:pPr>
      <w:bookmarkStart w:id="678" w:name="_Toc19005621"/>
      <w:bookmarkStart w:id="679" w:name="_Toc101439057"/>
      <w:r>
        <w:lastRenderedPageBreak/>
        <w:t>Radioactive Chemicals</w:t>
      </w:r>
      <w:bookmarkEnd w:id="678"/>
      <w:bookmarkEnd w:id="679"/>
      <w:r>
        <w:t xml:space="preserve"> </w:t>
      </w:r>
    </w:p>
    <w:p w14:paraId="61821E9A" w14:textId="29FF5780" w:rsidR="003E319D" w:rsidRDefault="00D737C4" w:rsidP="005E44A4">
      <w:pPr>
        <w:pStyle w:val="Heading2"/>
      </w:pPr>
      <w:bookmarkStart w:id="680" w:name="_Toc19005622"/>
      <w:bookmarkStart w:id="681" w:name="_Toc101439058"/>
      <w:r>
        <w:t>2</w:t>
      </w:r>
      <w:r w:rsidR="0099344A">
        <w:t>6</w:t>
      </w:r>
      <w:r w:rsidR="00E9069F">
        <w:t>.1   Scope</w:t>
      </w:r>
      <w:bookmarkEnd w:id="680"/>
      <w:bookmarkEnd w:id="681"/>
      <w:r w:rsidR="00E9069F">
        <w:t xml:space="preserve"> </w:t>
      </w:r>
    </w:p>
    <w:p w14:paraId="61821E9B" w14:textId="77777777" w:rsidR="003E319D" w:rsidRDefault="00E9069F" w:rsidP="00E27BFA">
      <w:r>
        <w:t xml:space="preserve">The general chemical management requirements are relevant to the management of radioactive chemicals. Additional requirements for radioactive chemicals are identified in this section. </w:t>
      </w:r>
    </w:p>
    <w:p w14:paraId="61821E9C" w14:textId="534A271B" w:rsidR="003E319D" w:rsidRDefault="00D737C4" w:rsidP="005E44A4">
      <w:pPr>
        <w:pStyle w:val="Heading2"/>
      </w:pPr>
      <w:bookmarkStart w:id="682" w:name="_Toc19005623"/>
      <w:bookmarkStart w:id="683" w:name="_Toc101439059"/>
      <w:r>
        <w:t>2</w:t>
      </w:r>
      <w:r w:rsidR="0099344A">
        <w:t>6</w:t>
      </w:r>
      <w:r w:rsidR="00E9069F">
        <w:t>.2   Introduction</w:t>
      </w:r>
      <w:bookmarkEnd w:id="682"/>
      <w:bookmarkEnd w:id="683"/>
      <w:r w:rsidR="00E9069F">
        <w:t xml:space="preserve"> </w:t>
      </w:r>
    </w:p>
    <w:p w14:paraId="61821E9D" w14:textId="12E4441C" w:rsidR="003E319D" w:rsidRDefault="00E9069F" w:rsidP="00E27BFA">
      <w:r>
        <w:t xml:space="preserve">Radioactive chemicals, also referred to as radionuclides or radioisotopes, spontaneously emit radiation. If they are not </w:t>
      </w:r>
      <w:proofErr w:type="gramStart"/>
      <w:r>
        <w:t>encapsulated</w:t>
      </w:r>
      <w:proofErr w:type="gramEnd"/>
      <w:r>
        <w:t xml:space="preserve"> they may also be referred to as open or unsealed sources. Radioactive chemicals are often supplied as </w:t>
      </w:r>
      <w:r w:rsidR="005E68EB">
        <w:t xml:space="preserve">a single </w:t>
      </w:r>
      <w:r>
        <w:t xml:space="preserve">chemical element isotope. For example, phosphorus has </w:t>
      </w:r>
      <w:proofErr w:type="gramStart"/>
      <w:r>
        <w:t>a number of</w:t>
      </w:r>
      <w:proofErr w:type="gramEnd"/>
      <w:r>
        <w:t xml:space="preserve"> radioactive isotopes including phosphorus-32 or phosphorus-33. Radioactive materials are defined in regulation 5 of the Radiation Safety (General) Regulations 1983 (WA). Details of Radiation Safety Management at Curtin can be found </w:t>
      </w:r>
      <w:r w:rsidR="00740F15">
        <w:t xml:space="preserve">in the Radiation Safety Manual </w:t>
      </w:r>
      <w:r>
        <w:t xml:space="preserve">at </w:t>
      </w:r>
      <w:r w:rsidR="00C95AD5">
        <w:t xml:space="preserve">the </w:t>
      </w:r>
      <w:hyperlink r:id="rId64" w:history="1">
        <w:r w:rsidR="00C95AD5" w:rsidRPr="00C95AD5">
          <w:rPr>
            <w:rStyle w:val="Hyperlink"/>
          </w:rPr>
          <w:t>Manage Your Research</w:t>
        </w:r>
      </w:hyperlink>
      <w:r w:rsidR="00C95AD5">
        <w:t xml:space="preserve"> website</w:t>
      </w:r>
      <w:r w:rsidR="00542886">
        <w:t>.</w:t>
      </w:r>
      <w:r w:rsidR="00740F15">
        <w:t xml:space="preserve"> </w:t>
      </w:r>
    </w:p>
    <w:p w14:paraId="61821E9E" w14:textId="5A15AD47" w:rsidR="003E319D" w:rsidRDefault="00E9069F" w:rsidP="003A782C">
      <w:pPr>
        <w:pStyle w:val="Heading2"/>
      </w:pPr>
      <w:bookmarkStart w:id="684" w:name="_Toc19005624"/>
      <w:bookmarkStart w:id="685" w:name="_Toc101439060"/>
      <w:r>
        <w:t>2</w:t>
      </w:r>
      <w:r w:rsidR="0099344A">
        <w:t>6</w:t>
      </w:r>
      <w:r>
        <w:t xml:space="preserve">.3 </w:t>
      </w:r>
      <w:r w:rsidR="00B66D25">
        <w:t xml:space="preserve">  </w:t>
      </w:r>
      <w:r>
        <w:t>Legislation</w:t>
      </w:r>
      <w:bookmarkEnd w:id="684"/>
      <w:bookmarkEnd w:id="685"/>
      <w:r>
        <w:t xml:space="preserve"> </w:t>
      </w:r>
    </w:p>
    <w:p w14:paraId="61821E9F" w14:textId="430DA4DB" w:rsidR="003E319D" w:rsidRDefault="00D737C4" w:rsidP="00B66D25">
      <w:pPr>
        <w:pStyle w:val="Heading3"/>
        <w:ind w:left="851" w:hanging="851"/>
      </w:pPr>
      <w:bookmarkStart w:id="686" w:name="_Toc19005625"/>
      <w:r>
        <w:t>2</w:t>
      </w:r>
      <w:r w:rsidR="0099344A">
        <w:t>6</w:t>
      </w:r>
      <w:r w:rsidR="00E9069F">
        <w:t>.3.1   Acts and Regulations</w:t>
      </w:r>
      <w:bookmarkEnd w:id="686"/>
      <w:r w:rsidR="00E9069F">
        <w:t xml:space="preserve"> </w:t>
      </w:r>
    </w:p>
    <w:p w14:paraId="61821EA0" w14:textId="77777777" w:rsidR="003E319D" w:rsidRDefault="00E9069F" w:rsidP="009720D8">
      <w:pPr>
        <w:pStyle w:val="Bullet1"/>
      </w:pPr>
      <w:r>
        <w:t xml:space="preserve">Radiation Safety Act 1975 (WA) </w:t>
      </w:r>
    </w:p>
    <w:p w14:paraId="61821EA1" w14:textId="77777777" w:rsidR="003E319D" w:rsidRDefault="00E9069F">
      <w:pPr>
        <w:pStyle w:val="Bullet1"/>
      </w:pPr>
      <w:r>
        <w:t xml:space="preserve">Radiation Safety (Qualifications) Regulations 1980 (WA) </w:t>
      </w:r>
    </w:p>
    <w:p w14:paraId="61821EA2" w14:textId="77777777" w:rsidR="003E319D" w:rsidRDefault="00E9069F">
      <w:pPr>
        <w:pStyle w:val="Bullet1"/>
      </w:pPr>
      <w:r>
        <w:t xml:space="preserve">Radiation Safety (General) Regulations 1983 (WA) </w:t>
      </w:r>
    </w:p>
    <w:p w14:paraId="61821EA3" w14:textId="77777777" w:rsidR="003E319D" w:rsidRDefault="00E9069F">
      <w:pPr>
        <w:pStyle w:val="Bullet1"/>
      </w:pPr>
      <w:r>
        <w:t xml:space="preserve">Radiation Safety (Transport and Radioactive Substances) Regulations 2002 (WA) </w:t>
      </w:r>
    </w:p>
    <w:p w14:paraId="61821EA4" w14:textId="26BBF975" w:rsidR="003E319D" w:rsidRDefault="00E9069F" w:rsidP="003A782C">
      <w:pPr>
        <w:pStyle w:val="Heading3"/>
        <w:ind w:left="851" w:hanging="851"/>
      </w:pPr>
      <w:bookmarkStart w:id="687" w:name="_Toc19005626"/>
      <w:r>
        <w:t>2</w:t>
      </w:r>
      <w:r w:rsidR="00E252C0">
        <w:t>6</w:t>
      </w:r>
      <w:r>
        <w:t>.3.2</w:t>
      </w:r>
      <w:r w:rsidR="00B66D25">
        <w:t xml:space="preserve">   </w:t>
      </w:r>
      <w:r>
        <w:t>Supporting Standards, Codes and Guidance Materials</w:t>
      </w:r>
      <w:bookmarkEnd w:id="687"/>
      <w:r>
        <w:t xml:space="preserve"> </w:t>
      </w:r>
    </w:p>
    <w:p w14:paraId="61821EA5" w14:textId="77777777" w:rsidR="003E319D" w:rsidRDefault="00E9069F" w:rsidP="002D2118">
      <w:pPr>
        <w:pStyle w:val="Bullet1"/>
      </w:pPr>
      <w:r>
        <w:t xml:space="preserve">AS 2243.4: Safety in laboratories. Part 4: Ionizing radiations </w:t>
      </w:r>
    </w:p>
    <w:p w14:paraId="61821EA6" w14:textId="77777777" w:rsidR="003E319D" w:rsidRDefault="00E9069F" w:rsidP="002D2118">
      <w:pPr>
        <w:pStyle w:val="Bullet1"/>
      </w:pPr>
      <w:r>
        <w:t xml:space="preserve">Radiation Protection Series (RPS) published by the Australian Radiation Protection and Nuclear Safety Agency (ARPANSA) </w:t>
      </w:r>
    </w:p>
    <w:p w14:paraId="61821EA7" w14:textId="145DB1F5" w:rsidR="003E319D" w:rsidRDefault="00D737C4" w:rsidP="005E44A4">
      <w:pPr>
        <w:pStyle w:val="Heading2"/>
      </w:pPr>
      <w:bookmarkStart w:id="688" w:name="_Toc19005627"/>
      <w:bookmarkStart w:id="689" w:name="_Toc101439061"/>
      <w:r>
        <w:t>2</w:t>
      </w:r>
      <w:r w:rsidR="00E842FA">
        <w:t>6</w:t>
      </w:r>
      <w:r w:rsidR="00E9069F">
        <w:t>.4   Registration</w:t>
      </w:r>
      <w:bookmarkEnd w:id="688"/>
      <w:bookmarkEnd w:id="689"/>
      <w:r w:rsidR="00E9069F">
        <w:t xml:space="preserve"> </w:t>
      </w:r>
    </w:p>
    <w:p w14:paraId="61821EA8" w14:textId="77777777" w:rsidR="003E319D" w:rsidRDefault="00E9069F" w:rsidP="00E27BFA">
      <w:r>
        <w:t xml:space="preserve">The Radiation Safety Act 1975 (WA) requires Curtin University to hold a Certificate of Registration for the possession and use of all radiation sources. The University’s Registration is centrally controlled and maintained by Curtin University’s Radiation Safety Officer (RSO), reporting to the University Radiation Safety Committee. The RSO is responsible for instituting and maintaining a system of radiation safety at the University, which includes maintaining </w:t>
      </w:r>
      <w:r w:rsidR="005E68EB">
        <w:t>registration limits</w:t>
      </w:r>
      <w:r>
        <w:t xml:space="preserve"> of all radiation sources used by Curtin and coordinating modifications to the current registration. </w:t>
      </w:r>
    </w:p>
    <w:p w14:paraId="61821EA9" w14:textId="6F8BCEDD" w:rsidR="003E319D" w:rsidRDefault="00D737C4" w:rsidP="005E44A4">
      <w:pPr>
        <w:pStyle w:val="Heading2"/>
      </w:pPr>
      <w:bookmarkStart w:id="690" w:name="_Toc19005628"/>
      <w:bookmarkStart w:id="691" w:name="_Toc101439062"/>
      <w:r>
        <w:t>2</w:t>
      </w:r>
      <w:r w:rsidR="00E842FA">
        <w:t>6</w:t>
      </w:r>
      <w:r w:rsidR="00E9069F">
        <w:t>.5   Licensing</w:t>
      </w:r>
      <w:bookmarkEnd w:id="690"/>
      <w:bookmarkEnd w:id="691"/>
      <w:r w:rsidR="00E9069F">
        <w:t xml:space="preserve"> </w:t>
      </w:r>
    </w:p>
    <w:p w14:paraId="61821EAA" w14:textId="0D4AB18D" w:rsidR="003E319D" w:rsidRDefault="00E9069F" w:rsidP="00E27BFA">
      <w:r>
        <w:t xml:space="preserve">The Radiation Safety Act 1975 (WA) requires individuals working with radioactive chemicals to hold, or work under the supervision of someone holding, a radioactive substances licence. Licences are obtained from the Radiation Health branch of the WA State Government Department of Health. Initial applications for a licence must be forwarded to the University RSO who will confirm eligibility and write a letter of support for the applicant. Subsequent licence renewals can be forwarded directly to the Radiation Health Branch. </w:t>
      </w:r>
    </w:p>
    <w:p w14:paraId="61821EAB" w14:textId="058A339C" w:rsidR="003E319D" w:rsidRDefault="00D737C4" w:rsidP="005E44A4">
      <w:pPr>
        <w:pStyle w:val="Heading2"/>
      </w:pPr>
      <w:bookmarkStart w:id="692" w:name="_Toc19005629"/>
      <w:bookmarkStart w:id="693" w:name="_Toc101439063"/>
      <w:r>
        <w:lastRenderedPageBreak/>
        <w:t>2</w:t>
      </w:r>
      <w:r w:rsidR="00E842FA">
        <w:t>6</w:t>
      </w:r>
      <w:r w:rsidR="00E9069F">
        <w:t>.6   Responsibilities</w:t>
      </w:r>
      <w:bookmarkEnd w:id="692"/>
      <w:bookmarkEnd w:id="693"/>
      <w:r w:rsidR="00E9069F">
        <w:t xml:space="preserve"> </w:t>
      </w:r>
    </w:p>
    <w:p w14:paraId="61821EAC" w14:textId="5FC858C0" w:rsidR="003E319D" w:rsidRDefault="00E9069F" w:rsidP="00E27BFA">
      <w:r>
        <w:t xml:space="preserve">The responsibility for implementation of the safe management of radioactive chemicals rests with the Heads of Schools, </w:t>
      </w:r>
      <w:proofErr w:type="gramStart"/>
      <w:r>
        <w:t>managers</w:t>
      </w:r>
      <w:proofErr w:type="gramEnd"/>
      <w:r>
        <w:t xml:space="preserve"> and supervisors. Each workplace is responsible for enforcing the procedures and for ensuring that staff and students have the necessary information, instruction, </w:t>
      </w:r>
      <w:proofErr w:type="gramStart"/>
      <w:r>
        <w:t>training</w:t>
      </w:r>
      <w:proofErr w:type="gramEnd"/>
      <w:r>
        <w:t xml:space="preserve"> and supervision before commencing radiation work. To assist Heads of School, managers and supervisors, each area </w:t>
      </w:r>
      <w:r w:rsidR="00740F15">
        <w:t xml:space="preserve">may </w:t>
      </w:r>
      <w:r>
        <w:t>nominate</w:t>
      </w:r>
      <w:r w:rsidR="00740F15">
        <w:t xml:space="preserve"> a</w:t>
      </w:r>
      <w:r>
        <w:t xml:space="preserve"> local </w:t>
      </w:r>
      <w:r w:rsidR="00740F15">
        <w:t xml:space="preserve">Radiation Safety Supervisor </w:t>
      </w:r>
      <w:r>
        <w:t xml:space="preserve">to liaise with both local Health &amp; Safety personnel and the University RSO. These representatives are listed </w:t>
      </w:r>
      <w:r w:rsidR="00740F15">
        <w:t xml:space="preserve">in the Radiation Safety Manual  </w:t>
      </w:r>
    </w:p>
    <w:p w14:paraId="61821EAD" w14:textId="2401B8EF" w:rsidR="003E319D" w:rsidRDefault="00D737C4" w:rsidP="005E44A4">
      <w:pPr>
        <w:pStyle w:val="Heading2"/>
      </w:pPr>
      <w:bookmarkStart w:id="694" w:name="_Toc19005630"/>
      <w:bookmarkStart w:id="695" w:name="_Toc101439064"/>
      <w:r>
        <w:t>2</w:t>
      </w:r>
      <w:r w:rsidR="00E842FA">
        <w:t>6</w:t>
      </w:r>
      <w:r w:rsidR="00E9069F">
        <w:t>.7   Radioactive Substances Project Approval</w:t>
      </w:r>
      <w:bookmarkEnd w:id="694"/>
      <w:bookmarkEnd w:id="695"/>
      <w:r w:rsidR="00E9069F">
        <w:t xml:space="preserve"> </w:t>
      </w:r>
    </w:p>
    <w:p w14:paraId="61821EAE" w14:textId="6759E6F4" w:rsidR="003E319D" w:rsidRDefault="00E9069F" w:rsidP="00E27BFA">
      <w:r>
        <w:t xml:space="preserve">All </w:t>
      </w:r>
      <w:r w:rsidR="00855DAB">
        <w:t>s</w:t>
      </w:r>
      <w:r>
        <w:t xml:space="preserve">upervisors of projects involving radioactive substances at the University are required to complete a radioactive substances project application. The application must be completed </w:t>
      </w:r>
      <w:r w:rsidR="00740F15">
        <w:t xml:space="preserve">in the </w:t>
      </w:r>
      <w:proofErr w:type="spellStart"/>
      <w:r w:rsidR="00740F15">
        <w:t>InfoEd</w:t>
      </w:r>
      <w:proofErr w:type="spellEnd"/>
      <w:r w:rsidR="00740F15">
        <w:t xml:space="preserve"> systems and submitted </w:t>
      </w:r>
      <w:r>
        <w:t xml:space="preserve">to the University Radiation Safety Officer (RSO) for final approval. Further details can be found </w:t>
      </w:r>
      <w:r w:rsidR="00740F15">
        <w:t xml:space="preserve">in the Radiation Safety Manual. </w:t>
      </w:r>
      <w:proofErr w:type="spellStart"/>
      <w:r w:rsidR="00740F15">
        <w:t>InfoEd</w:t>
      </w:r>
      <w:proofErr w:type="spellEnd"/>
      <w:r w:rsidR="00740F15">
        <w:t xml:space="preserve"> user guides and templates can be found at</w:t>
      </w:r>
      <w:r w:rsidR="00D366C3">
        <w:t xml:space="preserve"> the </w:t>
      </w:r>
      <w:hyperlink r:id="rId65" w:history="1">
        <w:r w:rsidR="00D366C3" w:rsidRPr="00C95AD5">
          <w:rPr>
            <w:rStyle w:val="Hyperlink"/>
          </w:rPr>
          <w:t>Manage Your Research</w:t>
        </w:r>
      </w:hyperlink>
      <w:r w:rsidR="00D366C3">
        <w:t xml:space="preserve"> website.</w:t>
      </w:r>
    </w:p>
    <w:p w14:paraId="61821EAF" w14:textId="7EFE0AAF" w:rsidR="003E319D" w:rsidRDefault="00D737C4" w:rsidP="005E44A4">
      <w:pPr>
        <w:pStyle w:val="Heading2"/>
      </w:pPr>
      <w:bookmarkStart w:id="696" w:name="_Toc19005631"/>
      <w:bookmarkStart w:id="697" w:name="_Toc101439065"/>
      <w:r>
        <w:t>2</w:t>
      </w:r>
      <w:r w:rsidR="00E842FA">
        <w:t>6</w:t>
      </w:r>
      <w:r w:rsidR="00E9069F">
        <w:t>.8   Training</w:t>
      </w:r>
      <w:bookmarkEnd w:id="696"/>
      <w:bookmarkEnd w:id="697"/>
      <w:r w:rsidR="00E9069F">
        <w:t xml:space="preserve"> </w:t>
      </w:r>
    </w:p>
    <w:p w14:paraId="61821EB0" w14:textId="77777777" w:rsidR="003E319D" w:rsidRDefault="00E9069F" w:rsidP="00E27BFA">
      <w:r>
        <w:t>All radioisotope users at the University are required to have a level of training appropriate to the work they are conducting. This training can be one of the WA Regulator accredited courses or an equivalent level qualification. The licence holder must retain documentary evidence of the training of each user under his/her supervision. The University RSO can provide further information related to accredited courses.</w:t>
      </w:r>
    </w:p>
    <w:p w14:paraId="61821EB1" w14:textId="50932969" w:rsidR="003E319D" w:rsidRDefault="00D737C4" w:rsidP="005E44A4">
      <w:pPr>
        <w:pStyle w:val="Heading2"/>
      </w:pPr>
      <w:bookmarkStart w:id="698" w:name="_Toc19005632"/>
      <w:bookmarkStart w:id="699" w:name="_Toc101439066"/>
      <w:r>
        <w:t>2</w:t>
      </w:r>
      <w:r w:rsidR="00E842FA">
        <w:t>6</w:t>
      </w:r>
      <w:r w:rsidR="00E9069F">
        <w:t>.9   Ordering Radioactive Material</w:t>
      </w:r>
      <w:bookmarkEnd w:id="698"/>
      <w:bookmarkEnd w:id="699"/>
      <w:r w:rsidR="00E9069F">
        <w:t xml:space="preserve"> </w:t>
      </w:r>
    </w:p>
    <w:p w14:paraId="61821EB2" w14:textId="545B0D4E" w:rsidR="003E319D" w:rsidRDefault="00E9069F" w:rsidP="00E27BFA">
      <w:r>
        <w:t xml:space="preserve">A radioactive substances project application (or amendment) must be submitted before any new purchase of radioactive chemical, as some facilities may require modifications to accommodate certain radionuclide activity levels. Maximum activities for each radioisotope are registered at each location so it is important to ensure the total activities remain below these limits. For repeat orders of radioactive chemicals already covered by an existing approved project it is only necessary to inform the local </w:t>
      </w:r>
      <w:r w:rsidR="00E60B6F">
        <w:t>R</w:t>
      </w:r>
      <w:r>
        <w:t xml:space="preserve">adiation </w:t>
      </w:r>
      <w:r w:rsidR="00E60B6F">
        <w:t>S</w:t>
      </w:r>
      <w:r>
        <w:t xml:space="preserve">afety </w:t>
      </w:r>
      <w:r w:rsidR="00E60B6F">
        <w:t xml:space="preserve">Supervisor </w:t>
      </w:r>
      <w:r>
        <w:t xml:space="preserve">to ensure activity limits for the location are not exceeded. The RSO should be contacted if the limits at any location need to be changed. </w:t>
      </w:r>
    </w:p>
    <w:p w14:paraId="61821EB3" w14:textId="40DA4CA3" w:rsidR="003E319D" w:rsidRPr="00BC7E27" w:rsidRDefault="00D737C4" w:rsidP="005E44A4">
      <w:pPr>
        <w:pStyle w:val="Heading2"/>
      </w:pPr>
      <w:bookmarkStart w:id="700" w:name="_Toc19005633"/>
      <w:bookmarkStart w:id="701" w:name="_Toc101439067"/>
      <w:proofErr w:type="gramStart"/>
      <w:r w:rsidRPr="00BC7E27">
        <w:t>2</w:t>
      </w:r>
      <w:r w:rsidR="00E842FA">
        <w:t>6</w:t>
      </w:r>
      <w:r w:rsidR="00E9069F" w:rsidRPr="00BC7E27">
        <w:t>.10  Records</w:t>
      </w:r>
      <w:proofErr w:type="gramEnd"/>
      <w:r w:rsidR="00E9069F" w:rsidRPr="00BC7E27">
        <w:t xml:space="preserve"> and Labelling</w:t>
      </w:r>
      <w:bookmarkEnd w:id="700"/>
      <w:bookmarkEnd w:id="701"/>
      <w:r w:rsidR="00E9069F" w:rsidRPr="00BC7E27">
        <w:t xml:space="preserve"> </w:t>
      </w:r>
    </w:p>
    <w:p w14:paraId="61821EB4" w14:textId="22EBFA6E" w:rsidR="003E319D" w:rsidRDefault="00E9069F" w:rsidP="00E27BFA">
      <w:r>
        <w:t xml:space="preserve">Records following the movement of radioactive substances must be kept and regularly updated. Records must detail activities, physical form of radioisotopes, supplier, arrival date, use details, disposal method and disposal date. Comments could also be included on the form of packaging </w:t>
      </w:r>
      <w:r w:rsidR="003023D2">
        <w:t>and</w:t>
      </w:r>
      <w:r>
        <w:t xml:space="preserve"> if necessary, the quality of the packaging. Signed receipts should be obtained. The container and the storage location should be clearly marked with a radiation tri-foil symbol. Decanted radioactive chemicals must be written in English, include the product identifier and the activity. Locations and activities of all stored radioisotopes should be kept and forwarded to the RSO for registration purposes. </w:t>
      </w:r>
    </w:p>
    <w:p w14:paraId="61821EB5" w14:textId="756236A3" w:rsidR="003E319D" w:rsidRDefault="00D737C4" w:rsidP="005E44A4">
      <w:pPr>
        <w:pStyle w:val="Heading2"/>
      </w:pPr>
      <w:bookmarkStart w:id="702" w:name="_Toc19005634"/>
      <w:bookmarkStart w:id="703" w:name="_Toc101439068"/>
      <w:proofErr w:type="gramStart"/>
      <w:r>
        <w:t>2</w:t>
      </w:r>
      <w:r w:rsidR="00E842FA">
        <w:t>6</w:t>
      </w:r>
      <w:r w:rsidR="00E9069F">
        <w:t>.11  Monitoring</w:t>
      </w:r>
      <w:proofErr w:type="gramEnd"/>
      <w:r w:rsidR="00E9069F">
        <w:t xml:space="preserve"> and Testing</w:t>
      </w:r>
      <w:bookmarkEnd w:id="702"/>
      <w:bookmarkEnd w:id="703"/>
      <w:r w:rsidR="00E9069F">
        <w:t xml:space="preserve"> </w:t>
      </w:r>
    </w:p>
    <w:p w14:paraId="61821EB6" w14:textId="0214CBB1" w:rsidR="003E319D" w:rsidRDefault="00E9069F" w:rsidP="00E27BFA">
      <w:r>
        <w:t xml:space="preserve">The objective of radiation monitoring is to ensure that existing safety procedures are effective at keeping dosage and exposures from scattered or incidental radiation as low as reasonably achievable (ALARA). Monitoring and Testing techniques include personal radiation monitoring badges, biological monitoring, </w:t>
      </w:r>
      <w:r w:rsidR="00E739C8">
        <w:t>and wipe</w:t>
      </w:r>
      <w:r>
        <w:t xml:space="preserve"> testing and radiation surveys. All radioisotope laboratories should adopt one or more of these techniques appropriate for the work being conducted. Details about the most appropriate technique(s) can be found </w:t>
      </w:r>
      <w:r w:rsidR="00E60B6F">
        <w:t xml:space="preserve">in the Radiation Safety Manual </w:t>
      </w:r>
    </w:p>
    <w:p w14:paraId="61821EB7" w14:textId="3E5A41B7" w:rsidR="003E319D" w:rsidRDefault="00D737C4" w:rsidP="005E44A4">
      <w:pPr>
        <w:pStyle w:val="Heading2"/>
      </w:pPr>
      <w:bookmarkStart w:id="704" w:name="_Toc19005635"/>
      <w:bookmarkStart w:id="705" w:name="_Toc101439069"/>
      <w:proofErr w:type="gramStart"/>
      <w:r>
        <w:lastRenderedPageBreak/>
        <w:t>2</w:t>
      </w:r>
      <w:r w:rsidR="00E842FA">
        <w:t>6</w:t>
      </w:r>
      <w:r w:rsidR="00E9069F">
        <w:t>.12  Waste</w:t>
      </w:r>
      <w:proofErr w:type="gramEnd"/>
      <w:r w:rsidR="00E9069F">
        <w:t xml:space="preserve"> Disposal</w:t>
      </w:r>
      <w:bookmarkEnd w:id="704"/>
      <w:bookmarkEnd w:id="705"/>
      <w:r w:rsidR="00E9069F">
        <w:t xml:space="preserve"> </w:t>
      </w:r>
    </w:p>
    <w:p w14:paraId="61821EB8" w14:textId="0AE0CA1C" w:rsidR="003E319D" w:rsidRDefault="00E9069F" w:rsidP="00E27BFA">
      <w:r>
        <w:t xml:space="preserve">All solid radioactive chemical waste </w:t>
      </w:r>
      <w:r w:rsidR="00E60B6F">
        <w:t xml:space="preserve">and insoluble liquid waste </w:t>
      </w:r>
      <w:r>
        <w:t xml:space="preserve">must be put in a thick-walled plastic liner and subsequently placed in a sturdy cardboard box. Different radioisotopes should not be mixed in the same box. The box should be labelled with the radioisotope, the activity, the date, a contact </w:t>
      </w:r>
      <w:proofErr w:type="gramStart"/>
      <w:r>
        <w:t>name</w:t>
      </w:r>
      <w:proofErr w:type="gramEnd"/>
      <w:r>
        <w:t xml:space="preserve"> and department. These wastes will need to be delivered to the Curtin Radioactive Waste Store. The RSO should be contacted to arrange this disposal. </w:t>
      </w:r>
      <w:r w:rsidR="00E60B6F">
        <w:t>Soluble l</w:t>
      </w:r>
      <w:r>
        <w:t xml:space="preserve">iquid waste should be disposed of using a flushing sink in a registered radioisotope laboratory. The activity flushed </w:t>
      </w:r>
      <w:r w:rsidR="005E68EB">
        <w:t>must</w:t>
      </w:r>
      <w:r>
        <w:t xml:space="preserve"> be within the regulatory limits.</w:t>
      </w:r>
    </w:p>
    <w:p w14:paraId="61821EB9" w14:textId="0CB62EF4" w:rsidR="007E0A46" w:rsidRPr="007E0A46" w:rsidRDefault="00D737C4" w:rsidP="000F5EAB">
      <w:pPr>
        <w:pStyle w:val="Heading1"/>
        <w:numPr>
          <w:ilvl w:val="0"/>
          <w:numId w:val="0"/>
        </w:numPr>
        <w:tabs>
          <w:tab w:val="clear" w:pos="851"/>
          <w:tab w:val="left" w:pos="426"/>
        </w:tabs>
      </w:pPr>
      <w:bookmarkStart w:id="706" w:name="_Toc19005636"/>
      <w:bookmarkStart w:id="707" w:name="_Toc101439070"/>
      <w:r>
        <w:t>2</w:t>
      </w:r>
      <w:r w:rsidR="00E842FA">
        <w:t>7</w:t>
      </w:r>
      <w:r w:rsidR="00E9069F">
        <w:t>.</w:t>
      </w:r>
      <w:r w:rsidR="000F5EAB">
        <w:tab/>
      </w:r>
      <w:r w:rsidR="003E319D">
        <w:t>Health &amp; Safety Documents &amp; Forms</w:t>
      </w:r>
      <w:bookmarkEnd w:id="706"/>
      <w:bookmarkEnd w:id="707"/>
    </w:p>
    <w:p w14:paraId="61821EBA" w14:textId="161597CE" w:rsidR="003E319D" w:rsidRDefault="00D737C4" w:rsidP="005E44A4">
      <w:pPr>
        <w:pStyle w:val="Heading2"/>
      </w:pPr>
      <w:bookmarkStart w:id="708" w:name="_Toc19005637"/>
      <w:bookmarkStart w:id="709" w:name="_Toc101439071"/>
      <w:r>
        <w:t>2</w:t>
      </w:r>
      <w:r w:rsidR="00E842FA">
        <w:t>7</w:t>
      </w:r>
      <w:r w:rsidR="00E9069F">
        <w:t>.1   University Documents &amp; Forms</w:t>
      </w:r>
      <w:bookmarkEnd w:id="708"/>
      <w:bookmarkEnd w:id="709"/>
    </w:p>
    <w:p w14:paraId="61821EBB" w14:textId="647C18A9" w:rsidR="003E319D" w:rsidRDefault="00E9069F" w:rsidP="00E27BFA">
      <w:r>
        <w:t xml:space="preserve">For further advice on managing risks in university workplaces, including procedures, guidance, forms and training courses, please </w:t>
      </w:r>
      <w:r w:rsidR="00BB5FB8">
        <w:t>go to</w:t>
      </w:r>
      <w:r w:rsidR="00D366C3">
        <w:t xml:space="preserve"> the Health and Safety </w:t>
      </w:r>
      <w:hyperlink r:id="rId66" w:history="1">
        <w:r w:rsidR="00D366C3" w:rsidRPr="00D366C3">
          <w:rPr>
            <w:rStyle w:val="Hyperlink"/>
          </w:rPr>
          <w:t>Policies and Procedures</w:t>
        </w:r>
      </w:hyperlink>
      <w:r w:rsidR="00D366C3">
        <w:t xml:space="preserve"> website, including</w:t>
      </w:r>
      <w:r>
        <w:t>:</w:t>
      </w:r>
    </w:p>
    <w:p w14:paraId="61821EBC" w14:textId="77777777" w:rsidR="003E319D" w:rsidRDefault="00E9069F" w:rsidP="002D2118">
      <w:pPr>
        <w:pStyle w:val="Bullet1"/>
        <w:numPr>
          <w:ilvl w:val="0"/>
          <w:numId w:val="0"/>
        </w:numPr>
        <w:ind w:left="284"/>
      </w:pPr>
      <w:r>
        <w:t>Health and Safety Policy</w:t>
      </w:r>
    </w:p>
    <w:p w14:paraId="61821EBD" w14:textId="77777777" w:rsidR="001C1A89" w:rsidRDefault="00E9069F" w:rsidP="002D2118">
      <w:pPr>
        <w:pStyle w:val="Bullet1"/>
        <w:numPr>
          <w:ilvl w:val="0"/>
          <w:numId w:val="0"/>
        </w:numPr>
        <w:ind w:left="284"/>
      </w:pPr>
      <w:r>
        <w:t>Health and Safety Responsibilities Procedures</w:t>
      </w:r>
    </w:p>
    <w:p w14:paraId="61821EBE" w14:textId="77777777" w:rsidR="001C1A89" w:rsidRDefault="00E9069F" w:rsidP="002D2118">
      <w:pPr>
        <w:pStyle w:val="Bullet1"/>
        <w:numPr>
          <w:ilvl w:val="0"/>
          <w:numId w:val="0"/>
        </w:numPr>
        <w:ind w:left="284"/>
      </w:pPr>
      <w:r>
        <w:t>Health and Safety Management Standards</w:t>
      </w:r>
    </w:p>
    <w:p w14:paraId="61821EBF" w14:textId="77777777" w:rsidR="001C1A89" w:rsidRDefault="00E9069F" w:rsidP="001C1A89">
      <w:pPr>
        <w:pStyle w:val="Bullet1"/>
        <w:numPr>
          <w:ilvl w:val="0"/>
          <w:numId w:val="0"/>
        </w:numPr>
        <w:ind w:left="284"/>
      </w:pPr>
      <w:r>
        <w:t>Pre-purchase checklist for Chemicals</w:t>
      </w:r>
    </w:p>
    <w:p w14:paraId="61821EC0" w14:textId="77777777" w:rsidR="001C1A89" w:rsidRDefault="00E9069F" w:rsidP="001C1A89">
      <w:pPr>
        <w:pStyle w:val="Bullet1"/>
        <w:numPr>
          <w:ilvl w:val="0"/>
          <w:numId w:val="0"/>
        </w:numPr>
        <w:ind w:left="284"/>
      </w:pPr>
      <w:r>
        <w:t>Pre-purchase checklist for Gases</w:t>
      </w:r>
    </w:p>
    <w:p w14:paraId="61821EC1" w14:textId="77777777" w:rsidR="001C1A89" w:rsidRDefault="00E9069F" w:rsidP="001C1A89">
      <w:pPr>
        <w:pStyle w:val="Bullet1"/>
        <w:numPr>
          <w:ilvl w:val="0"/>
          <w:numId w:val="0"/>
        </w:numPr>
        <w:ind w:left="284"/>
      </w:pPr>
      <w:r>
        <w:t>Pre-purchase checklist for Materials</w:t>
      </w:r>
    </w:p>
    <w:p w14:paraId="61821EC2" w14:textId="77777777" w:rsidR="001C1A89" w:rsidRDefault="00E9069F" w:rsidP="001C1A89">
      <w:pPr>
        <w:pStyle w:val="Bullet1"/>
        <w:numPr>
          <w:ilvl w:val="0"/>
          <w:numId w:val="0"/>
        </w:numPr>
        <w:ind w:left="284"/>
      </w:pPr>
      <w:r>
        <w:t>Pre-purchase checklist for Plant and Equipment</w:t>
      </w:r>
    </w:p>
    <w:p w14:paraId="61821EC3" w14:textId="77777777" w:rsidR="001C1A89" w:rsidRDefault="00E9069F" w:rsidP="001C1A89">
      <w:pPr>
        <w:pStyle w:val="Bullet1"/>
        <w:numPr>
          <w:ilvl w:val="0"/>
          <w:numId w:val="0"/>
        </w:numPr>
        <w:ind w:left="284"/>
      </w:pPr>
      <w:r>
        <w:t>Generic Risk Assessment Template</w:t>
      </w:r>
    </w:p>
    <w:p w14:paraId="61821EC4" w14:textId="07CAF1AD" w:rsidR="003E319D" w:rsidRDefault="00E9069F" w:rsidP="002D2118">
      <w:pPr>
        <w:pStyle w:val="Bullet1"/>
        <w:numPr>
          <w:ilvl w:val="0"/>
          <w:numId w:val="0"/>
        </w:numPr>
        <w:ind w:left="284"/>
      </w:pPr>
      <w:r>
        <w:t>Safe Work Procedure template</w:t>
      </w:r>
    </w:p>
    <w:p w14:paraId="61821EC8" w14:textId="77777777" w:rsidR="003E319D" w:rsidRDefault="00E9069F" w:rsidP="00391E62">
      <w:pPr>
        <w:pStyle w:val="Bullet1"/>
        <w:numPr>
          <w:ilvl w:val="0"/>
          <w:numId w:val="0"/>
        </w:numPr>
        <w:ind w:left="284"/>
      </w:pPr>
      <w:r>
        <w:t>Workplace Inspection Checklist</w:t>
      </w:r>
    </w:p>
    <w:p w14:paraId="61821EC9" w14:textId="77777777" w:rsidR="003E319D" w:rsidRDefault="00E9069F" w:rsidP="00F614A2">
      <w:pPr>
        <w:pStyle w:val="Bullet1"/>
        <w:numPr>
          <w:ilvl w:val="0"/>
          <w:numId w:val="0"/>
        </w:numPr>
        <w:ind w:left="284"/>
      </w:pPr>
      <w:r>
        <w:t>Induction Checklist</w:t>
      </w:r>
    </w:p>
    <w:p w14:paraId="61821ECA" w14:textId="67568BDF" w:rsidR="003E319D" w:rsidRDefault="00E9069F" w:rsidP="00E739C8">
      <w:pPr>
        <w:pStyle w:val="Bullet1"/>
        <w:numPr>
          <w:ilvl w:val="0"/>
          <w:numId w:val="0"/>
        </w:numPr>
        <w:ind w:left="284"/>
      </w:pPr>
      <w:r>
        <w:t xml:space="preserve">Waste Disposal Manifest </w:t>
      </w:r>
    </w:p>
    <w:p w14:paraId="7E40E57D" w14:textId="6DEB02C9" w:rsidR="004B57AA" w:rsidRDefault="004B57AA" w:rsidP="00E739C8">
      <w:pPr>
        <w:pStyle w:val="Bullet1"/>
        <w:numPr>
          <w:ilvl w:val="0"/>
          <w:numId w:val="0"/>
        </w:numPr>
        <w:ind w:left="284"/>
      </w:pPr>
      <w:r>
        <w:t>Management of Time Sensitive Chemicals</w:t>
      </w:r>
    </w:p>
    <w:p w14:paraId="61821ECC" w14:textId="77777777" w:rsidR="00BB5FB8" w:rsidRDefault="000B5016">
      <w:pPr>
        <w:pStyle w:val="Bullet1"/>
        <w:numPr>
          <w:ilvl w:val="0"/>
          <w:numId w:val="0"/>
        </w:numPr>
        <w:ind w:left="284"/>
      </w:pPr>
      <w:hyperlink r:id="rId67" w:history="1">
        <w:r w:rsidR="00E9069F" w:rsidRPr="00BB5FB8">
          <w:rPr>
            <w:rStyle w:val="Hyperlink"/>
            <w:rFonts w:cs="Arial"/>
            <w:color w:val="CC9900"/>
            <w:sz w:val="21"/>
            <w:szCs w:val="21"/>
            <w:bdr w:val="none" w:sz="0" w:space="0" w:color="auto" w:frame="1"/>
          </w:rPr>
          <w:t>Managing Chemical Waste Guidelines</w:t>
        </w:r>
      </w:hyperlink>
    </w:p>
    <w:p w14:paraId="61821ECF" w14:textId="77777777" w:rsidR="00BB5FB8" w:rsidRDefault="00E9069F" w:rsidP="003A782C">
      <w:r>
        <w:t xml:space="preserve">Emergency Response information including First Aid and Warden information can be found at </w:t>
      </w:r>
      <w:hyperlink r:id="rId68" w:history="1">
        <w:r w:rsidR="00D366C3" w:rsidRPr="00D366C3">
          <w:rPr>
            <w:rStyle w:val="Hyperlink"/>
          </w:rPr>
          <w:t>Emergency Management</w:t>
        </w:r>
      </w:hyperlink>
      <w:r w:rsidR="00D366C3">
        <w:t>.</w:t>
      </w:r>
    </w:p>
    <w:p w14:paraId="61821ED0" w14:textId="1A013D8A" w:rsidR="003E319D" w:rsidRDefault="00D737C4" w:rsidP="000F5EAB">
      <w:pPr>
        <w:pStyle w:val="Heading1"/>
        <w:numPr>
          <w:ilvl w:val="0"/>
          <w:numId w:val="0"/>
        </w:numPr>
        <w:tabs>
          <w:tab w:val="clear" w:pos="851"/>
          <w:tab w:val="left" w:pos="426"/>
        </w:tabs>
        <w:ind w:left="426" w:hanging="426"/>
      </w:pPr>
      <w:bookmarkStart w:id="710" w:name="_Toc19005638"/>
      <w:bookmarkStart w:id="711" w:name="_Toc101439072"/>
      <w:r>
        <w:t>2</w:t>
      </w:r>
      <w:r w:rsidR="00E842FA">
        <w:t>8.</w:t>
      </w:r>
      <w:r w:rsidR="000F5EAB">
        <w:tab/>
      </w:r>
      <w:r w:rsidR="00E9069F">
        <w:t>R</w:t>
      </w:r>
      <w:r w:rsidR="00CC25BD">
        <w:t>evision and Updates</w:t>
      </w:r>
      <w:bookmarkEnd w:id="710"/>
      <w:bookmarkEnd w:id="711"/>
    </w:p>
    <w:p w14:paraId="61821ED1" w14:textId="77777777" w:rsidR="00CC25BD" w:rsidRPr="00CC25BD" w:rsidRDefault="00E9069F" w:rsidP="00CC25BD">
      <w:r w:rsidRPr="00CC25BD">
        <w:t xml:space="preserve">This management plan has been developed as a living document that reflects the changes in legislation, </w:t>
      </w:r>
      <w:proofErr w:type="gramStart"/>
      <w:r w:rsidRPr="00CC25BD">
        <w:t>standards</w:t>
      </w:r>
      <w:proofErr w:type="gramEnd"/>
      <w:r w:rsidRPr="00CC25BD">
        <w:t xml:space="preserve"> and guidelines available. This plan will therefore be subject to periodic review and new editions published. It is important that readers assure themselves that the current management plan is being referenced and that current standards including any amendments, legislation and/or guidance are being used. </w:t>
      </w:r>
    </w:p>
    <w:p w14:paraId="61821ED2" w14:textId="77777777" w:rsidR="00CC25BD" w:rsidRPr="00CC25BD" w:rsidRDefault="00E9069F" w:rsidP="00CC25BD">
      <w:r w:rsidRPr="00CC25BD">
        <w:t xml:space="preserve">As a minimum it is intended this document will be updated every 3 years. </w:t>
      </w:r>
    </w:p>
    <w:p w14:paraId="61821ED3" w14:textId="77777777" w:rsidR="00CC25BD" w:rsidRDefault="00E9069F" w:rsidP="00CC25BD">
      <w:r w:rsidRPr="00CC25BD">
        <w:lastRenderedPageBreak/>
        <w:t xml:space="preserve">Throughout this document various web links have been provided to Curtin’s internal documents and other </w:t>
      </w:r>
      <w:proofErr w:type="gramStart"/>
      <w:r w:rsidRPr="00CC25BD">
        <w:t>third party</w:t>
      </w:r>
      <w:proofErr w:type="gramEnd"/>
      <w:r w:rsidRPr="00CC25BD">
        <w:t xml:space="preserve"> documents. These links are subject to change with updating information. Every effort will be made to ensure internal Curtin University links remain active. Curtin University has no control over external websites and/or documentation. If a link does not </w:t>
      </w:r>
      <w:proofErr w:type="gramStart"/>
      <w:r w:rsidRPr="00CC25BD">
        <w:t>work</w:t>
      </w:r>
      <w:proofErr w:type="gramEnd"/>
      <w:r w:rsidRPr="00CC25BD">
        <w:t xml:space="preserve"> it is recommended going to the home page of the website being referenced and search for the required document. </w:t>
      </w:r>
    </w:p>
    <w:p w14:paraId="61821ED4" w14:textId="18FC5492" w:rsidR="00BC7E27" w:rsidRDefault="00D737C4" w:rsidP="005E44A4">
      <w:pPr>
        <w:pStyle w:val="Heading2"/>
      </w:pPr>
      <w:bookmarkStart w:id="712" w:name="_Toc19005639"/>
      <w:bookmarkStart w:id="713" w:name="_Toc101439073"/>
      <w:r>
        <w:t>2</w:t>
      </w:r>
      <w:r w:rsidR="00E842FA">
        <w:t>8</w:t>
      </w:r>
      <w:r w:rsidR="00E9069F">
        <w:t>.1   Revision History</w:t>
      </w:r>
      <w:bookmarkEnd w:id="712"/>
      <w:bookmarkEnd w:id="713"/>
    </w:p>
    <w:p w14:paraId="61821ED5" w14:textId="77777777" w:rsidR="00BC7E27" w:rsidRPr="00B5053B" w:rsidRDefault="00E9069F" w:rsidP="00BC7E27">
      <w:pPr>
        <w:rPr>
          <w:rFonts w:cs="Arial"/>
        </w:rPr>
      </w:pPr>
      <w:r w:rsidRPr="00BC7E27">
        <w:t xml:space="preserve">    </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413"/>
        <w:gridCol w:w="1276"/>
        <w:gridCol w:w="5675"/>
      </w:tblGrid>
      <w:tr w:rsidR="0059373B" w14:paraId="61821ED9" w14:textId="77777777" w:rsidTr="00BC7E27">
        <w:trPr>
          <w:trHeight w:val="170"/>
          <w:jc w:val="center"/>
        </w:trPr>
        <w:tc>
          <w:tcPr>
            <w:tcW w:w="1413" w:type="dxa"/>
            <w:tcMar>
              <w:top w:w="57" w:type="dxa"/>
              <w:bottom w:w="57" w:type="dxa"/>
            </w:tcMar>
            <w:vAlign w:val="center"/>
          </w:tcPr>
          <w:p w14:paraId="61821ED6" w14:textId="77777777" w:rsidR="00BC7E27" w:rsidRPr="00810A17" w:rsidRDefault="00E9069F" w:rsidP="00BC7E27">
            <w:pPr>
              <w:jc w:val="center"/>
              <w:rPr>
                <w:rFonts w:cs="Arial"/>
                <w:b/>
                <w:sz w:val="18"/>
                <w:szCs w:val="18"/>
              </w:rPr>
            </w:pPr>
            <w:r w:rsidRPr="00810A17">
              <w:rPr>
                <w:rFonts w:cs="Arial"/>
                <w:b/>
                <w:sz w:val="18"/>
                <w:szCs w:val="18"/>
              </w:rPr>
              <w:t>Revision</w:t>
            </w:r>
            <w:r>
              <w:rPr>
                <w:rFonts w:cs="Arial"/>
                <w:b/>
                <w:sz w:val="18"/>
                <w:szCs w:val="18"/>
              </w:rPr>
              <w:t xml:space="preserve"> #</w:t>
            </w:r>
          </w:p>
        </w:tc>
        <w:tc>
          <w:tcPr>
            <w:tcW w:w="1276" w:type="dxa"/>
            <w:tcMar>
              <w:top w:w="57" w:type="dxa"/>
              <w:bottom w:w="57" w:type="dxa"/>
            </w:tcMar>
            <w:vAlign w:val="center"/>
          </w:tcPr>
          <w:p w14:paraId="61821ED7" w14:textId="77777777" w:rsidR="00BC7E27" w:rsidRPr="00810A17" w:rsidRDefault="00E9069F" w:rsidP="00F3335F">
            <w:pPr>
              <w:jc w:val="center"/>
              <w:rPr>
                <w:rFonts w:cs="Arial"/>
                <w:b/>
                <w:sz w:val="18"/>
                <w:szCs w:val="18"/>
              </w:rPr>
            </w:pPr>
            <w:r w:rsidRPr="00810A17">
              <w:rPr>
                <w:rFonts w:cs="Arial"/>
                <w:b/>
                <w:sz w:val="18"/>
                <w:szCs w:val="18"/>
              </w:rPr>
              <w:t>Date</w:t>
            </w:r>
          </w:p>
        </w:tc>
        <w:tc>
          <w:tcPr>
            <w:tcW w:w="5675" w:type="dxa"/>
            <w:tcMar>
              <w:top w:w="57" w:type="dxa"/>
              <w:bottom w:w="57" w:type="dxa"/>
            </w:tcMar>
            <w:vAlign w:val="center"/>
          </w:tcPr>
          <w:p w14:paraId="61821ED8" w14:textId="77777777" w:rsidR="00BC7E27" w:rsidRPr="00810A17" w:rsidRDefault="00E9069F" w:rsidP="00F3335F">
            <w:pPr>
              <w:jc w:val="center"/>
              <w:rPr>
                <w:rFonts w:cs="Arial"/>
                <w:b/>
                <w:sz w:val="18"/>
                <w:szCs w:val="18"/>
              </w:rPr>
            </w:pPr>
            <w:r>
              <w:rPr>
                <w:rFonts w:cs="Arial"/>
                <w:b/>
                <w:sz w:val="18"/>
                <w:szCs w:val="18"/>
              </w:rPr>
              <w:t>Amendment Description</w:t>
            </w:r>
          </w:p>
        </w:tc>
      </w:tr>
      <w:tr w:rsidR="0059373B" w14:paraId="61821EDD" w14:textId="77777777" w:rsidTr="00BC7E27">
        <w:trPr>
          <w:trHeight w:val="454"/>
          <w:jc w:val="center"/>
        </w:trPr>
        <w:tc>
          <w:tcPr>
            <w:tcW w:w="1413" w:type="dxa"/>
            <w:tcMar>
              <w:top w:w="57" w:type="dxa"/>
              <w:bottom w:w="57" w:type="dxa"/>
            </w:tcMar>
            <w:vAlign w:val="center"/>
          </w:tcPr>
          <w:p w14:paraId="61821EDA" w14:textId="77777777" w:rsidR="00BC7E27" w:rsidRPr="00810A17" w:rsidRDefault="00E9069F" w:rsidP="00F3335F">
            <w:pPr>
              <w:rPr>
                <w:rFonts w:cs="Arial"/>
                <w:sz w:val="18"/>
                <w:szCs w:val="18"/>
              </w:rPr>
            </w:pPr>
            <w:r>
              <w:rPr>
                <w:rFonts w:cs="Arial"/>
                <w:sz w:val="18"/>
                <w:szCs w:val="18"/>
              </w:rPr>
              <w:t>Version 1</w:t>
            </w:r>
          </w:p>
        </w:tc>
        <w:tc>
          <w:tcPr>
            <w:tcW w:w="1276" w:type="dxa"/>
            <w:tcMar>
              <w:top w:w="57" w:type="dxa"/>
              <w:bottom w:w="57" w:type="dxa"/>
            </w:tcMar>
            <w:vAlign w:val="center"/>
          </w:tcPr>
          <w:p w14:paraId="61821EDB" w14:textId="77777777" w:rsidR="00BC7E27" w:rsidRPr="00810A17" w:rsidRDefault="00E9069F" w:rsidP="00F3335F">
            <w:pPr>
              <w:rPr>
                <w:rFonts w:cs="Arial"/>
                <w:sz w:val="18"/>
                <w:szCs w:val="18"/>
              </w:rPr>
            </w:pPr>
            <w:r>
              <w:rPr>
                <w:rFonts w:cs="Arial"/>
                <w:sz w:val="18"/>
                <w:szCs w:val="18"/>
              </w:rPr>
              <w:t>19/07/2016</w:t>
            </w:r>
          </w:p>
        </w:tc>
        <w:tc>
          <w:tcPr>
            <w:tcW w:w="5675" w:type="dxa"/>
            <w:tcMar>
              <w:top w:w="57" w:type="dxa"/>
              <w:bottom w:w="57" w:type="dxa"/>
            </w:tcMar>
            <w:vAlign w:val="center"/>
          </w:tcPr>
          <w:p w14:paraId="61821EDC" w14:textId="77777777" w:rsidR="00BC7E27" w:rsidRPr="00810A17" w:rsidRDefault="00E9069F" w:rsidP="00F3335F">
            <w:pPr>
              <w:rPr>
                <w:rFonts w:cs="Arial"/>
                <w:sz w:val="18"/>
                <w:szCs w:val="18"/>
              </w:rPr>
            </w:pPr>
            <w:r>
              <w:rPr>
                <w:rFonts w:cs="Arial"/>
                <w:sz w:val="18"/>
                <w:szCs w:val="18"/>
              </w:rPr>
              <w:t>Issued for use</w:t>
            </w:r>
          </w:p>
        </w:tc>
      </w:tr>
      <w:tr w:rsidR="0059373B" w14:paraId="61821EE1" w14:textId="77777777" w:rsidTr="00BC7E27">
        <w:trPr>
          <w:trHeight w:val="454"/>
          <w:jc w:val="center"/>
        </w:trPr>
        <w:tc>
          <w:tcPr>
            <w:tcW w:w="1413" w:type="dxa"/>
            <w:tcMar>
              <w:top w:w="57" w:type="dxa"/>
              <w:bottom w:w="57" w:type="dxa"/>
            </w:tcMar>
            <w:vAlign w:val="center"/>
          </w:tcPr>
          <w:p w14:paraId="61821EDE" w14:textId="4B8D8A44" w:rsidR="00BB5FB8" w:rsidRDefault="00E9069F">
            <w:pPr>
              <w:rPr>
                <w:rFonts w:cs="Arial"/>
                <w:sz w:val="18"/>
                <w:szCs w:val="18"/>
              </w:rPr>
            </w:pPr>
            <w:r>
              <w:rPr>
                <w:rFonts w:cs="Arial"/>
                <w:sz w:val="18"/>
                <w:szCs w:val="18"/>
              </w:rPr>
              <w:t xml:space="preserve">Version </w:t>
            </w:r>
            <w:r w:rsidR="00043B6E">
              <w:rPr>
                <w:rFonts w:cs="Arial"/>
                <w:sz w:val="18"/>
                <w:szCs w:val="18"/>
              </w:rPr>
              <w:t>2.0</w:t>
            </w:r>
          </w:p>
        </w:tc>
        <w:tc>
          <w:tcPr>
            <w:tcW w:w="1276" w:type="dxa"/>
            <w:tcMar>
              <w:top w:w="57" w:type="dxa"/>
              <w:bottom w:w="57" w:type="dxa"/>
            </w:tcMar>
            <w:vAlign w:val="center"/>
          </w:tcPr>
          <w:p w14:paraId="61821EDF" w14:textId="280D7EFE" w:rsidR="00BB5FB8" w:rsidRDefault="00E9069F" w:rsidP="00BB5FB8">
            <w:pPr>
              <w:rPr>
                <w:rFonts w:cs="Arial"/>
                <w:sz w:val="18"/>
                <w:szCs w:val="18"/>
              </w:rPr>
            </w:pPr>
            <w:r>
              <w:rPr>
                <w:rFonts w:cs="Arial"/>
                <w:sz w:val="18"/>
                <w:szCs w:val="18"/>
              </w:rPr>
              <w:t>28/10/2019</w:t>
            </w:r>
          </w:p>
        </w:tc>
        <w:tc>
          <w:tcPr>
            <w:tcW w:w="5675" w:type="dxa"/>
            <w:tcMar>
              <w:top w:w="57" w:type="dxa"/>
              <w:bottom w:w="57" w:type="dxa"/>
            </w:tcMar>
            <w:vAlign w:val="center"/>
          </w:tcPr>
          <w:p w14:paraId="61821EE0" w14:textId="28CDA746" w:rsidR="00BB5FB8" w:rsidRDefault="00E9069F">
            <w:pPr>
              <w:rPr>
                <w:rFonts w:cs="Arial"/>
                <w:sz w:val="18"/>
                <w:szCs w:val="18"/>
              </w:rPr>
            </w:pPr>
            <w:r>
              <w:rPr>
                <w:rFonts w:cs="Arial"/>
                <w:sz w:val="18"/>
                <w:szCs w:val="18"/>
              </w:rPr>
              <w:t>Scheduled</w:t>
            </w:r>
            <w:r w:rsidR="00043B6E">
              <w:rPr>
                <w:rFonts w:cs="Arial"/>
                <w:sz w:val="18"/>
                <w:szCs w:val="18"/>
              </w:rPr>
              <w:t xml:space="preserve"> revision</w:t>
            </w:r>
          </w:p>
        </w:tc>
      </w:tr>
      <w:tr w:rsidR="0088265F" w14:paraId="0E558F04" w14:textId="77777777" w:rsidTr="00BC7E27">
        <w:trPr>
          <w:trHeight w:val="454"/>
          <w:jc w:val="center"/>
        </w:trPr>
        <w:tc>
          <w:tcPr>
            <w:tcW w:w="1413" w:type="dxa"/>
            <w:tcMar>
              <w:top w:w="57" w:type="dxa"/>
              <w:bottom w:w="57" w:type="dxa"/>
            </w:tcMar>
            <w:vAlign w:val="center"/>
          </w:tcPr>
          <w:p w14:paraId="291361CD" w14:textId="286B215A" w:rsidR="0088265F" w:rsidRDefault="0088265F">
            <w:pPr>
              <w:rPr>
                <w:rFonts w:cs="Arial"/>
                <w:sz w:val="18"/>
                <w:szCs w:val="18"/>
              </w:rPr>
            </w:pPr>
            <w:r>
              <w:rPr>
                <w:rFonts w:cs="Arial"/>
                <w:sz w:val="18"/>
                <w:szCs w:val="18"/>
              </w:rPr>
              <w:t>Version 3.0</w:t>
            </w:r>
          </w:p>
        </w:tc>
        <w:tc>
          <w:tcPr>
            <w:tcW w:w="1276" w:type="dxa"/>
            <w:tcMar>
              <w:top w:w="57" w:type="dxa"/>
              <w:bottom w:w="57" w:type="dxa"/>
            </w:tcMar>
            <w:vAlign w:val="center"/>
          </w:tcPr>
          <w:p w14:paraId="679BAE31" w14:textId="279E8FAC" w:rsidR="0088265F" w:rsidRDefault="0088265F" w:rsidP="00BB5FB8">
            <w:pPr>
              <w:rPr>
                <w:rFonts w:cs="Arial"/>
                <w:sz w:val="18"/>
                <w:szCs w:val="18"/>
              </w:rPr>
            </w:pPr>
            <w:r>
              <w:rPr>
                <w:rFonts w:cs="Arial"/>
                <w:sz w:val="18"/>
                <w:szCs w:val="18"/>
              </w:rPr>
              <w:t>21/04/2022</w:t>
            </w:r>
          </w:p>
        </w:tc>
        <w:tc>
          <w:tcPr>
            <w:tcW w:w="5675" w:type="dxa"/>
            <w:tcMar>
              <w:top w:w="57" w:type="dxa"/>
              <w:bottom w:w="57" w:type="dxa"/>
            </w:tcMar>
            <w:vAlign w:val="center"/>
          </w:tcPr>
          <w:p w14:paraId="5A767AE5" w14:textId="0FC77168" w:rsidR="0088265F" w:rsidRDefault="0088265F">
            <w:pPr>
              <w:rPr>
                <w:rFonts w:cs="Arial"/>
                <w:sz w:val="18"/>
                <w:szCs w:val="18"/>
              </w:rPr>
            </w:pPr>
            <w:r>
              <w:rPr>
                <w:rFonts w:cs="Arial"/>
                <w:sz w:val="18"/>
                <w:szCs w:val="18"/>
              </w:rPr>
              <w:t>Scheduled revision</w:t>
            </w:r>
          </w:p>
        </w:tc>
      </w:tr>
      <w:tr w:rsidR="003B0C80" w14:paraId="4B9A3356" w14:textId="77777777" w:rsidTr="00BC7E27">
        <w:trPr>
          <w:trHeight w:val="454"/>
          <w:jc w:val="center"/>
        </w:trPr>
        <w:tc>
          <w:tcPr>
            <w:tcW w:w="1413" w:type="dxa"/>
            <w:tcMar>
              <w:top w:w="57" w:type="dxa"/>
              <w:bottom w:w="57" w:type="dxa"/>
            </w:tcMar>
            <w:vAlign w:val="center"/>
          </w:tcPr>
          <w:p w14:paraId="47D652BD" w14:textId="4345601A" w:rsidR="003B0C80" w:rsidRDefault="003B0C80">
            <w:pPr>
              <w:rPr>
                <w:rFonts w:cs="Arial"/>
                <w:sz w:val="18"/>
                <w:szCs w:val="18"/>
              </w:rPr>
            </w:pPr>
            <w:r>
              <w:rPr>
                <w:rFonts w:cs="Arial"/>
                <w:sz w:val="18"/>
                <w:szCs w:val="18"/>
              </w:rPr>
              <w:t>Version 4.0</w:t>
            </w:r>
          </w:p>
        </w:tc>
        <w:tc>
          <w:tcPr>
            <w:tcW w:w="1276" w:type="dxa"/>
            <w:tcMar>
              <w:top w:w="57" w:type="dxa"/>
              <w:bottom w:w="57" w:type="dxa"/>
            </w:tcMar>
            <w:vAlign w:val="center"/>
          </w:tcPr>
          <w:p w14:paraId="0430EB90" w14:textId="60BB9074" w:rsidR="003B0C80" w:rsidRDefault="003B0C80" w:rsidP="00BB5FB8">
            <w:pPr>
              <w:rPr>
                <w:rFonts w:cs="Arial"/>
                <w:sz w:val="18"/>
                <w:szCs w:val="18"/>
              </w:rPr>
            </w:pPr>
            <w:r>
              <w:rPr>
                <w:rFonts w:cs="Arial"/>
                <w:sz w:val="18"/>
                <w:szCs w:val="18"/>
              </w:rPr>
              <w:t>23/06/2022</w:t>
            </w:r>
          </w:p>
        </w:tc>
        <w:tc>
          <w:tcPr>
            <w:tcW w:w="5675" w:type="dxa"/>
            <w:tcMar>
              <w:top w:w="57" w:type="dxa"/>
              <w:bottom w:w="57" w:type="dxa"/>
            </w:tcMar>
            <w:vAlign w:val="center"/>
          </w:tcPr>
          <w:p w14:paraId="63C9B10D" w14:textId="44BADE12" w:rsidR="003B0C80" w:rsidRDefault="003B0C80">
            <w:pPr>
              <w:rPr>
                <w:rFonts w:cs="Arial"/>
                <w:sz w:val="18"/>
                <w:szCs w:val="18"/>
              </w:rPr>
            </w:pPr>
            <w:r>
              <w:rPr>
                <w:rFonts w:cs="Arial"/>
                <w:sz w:val="18"/>
                <w:szCs w:val="18"/>
              </w:rPr>
              <w:t>Updates to Time Sensitive Chemicals guidance to align with new guidance material.</w:t>
            </w:r>
          </w:p>
        </w:tc>
      </w:tr>
    </w:tbl>
    <w:p w14:paraId="61821EE2" w14:textId="77777777" w:rsidR="00BC7E27" w:rsidRDefault="00E9069F" w:rsidP="005E10FB">
      <w:pPr>
        <w:pStyle w:val="Heading1"/>
        <w:numPr>
          <w:ilvl w:val="0"/>
          <w:numId w:val="0"/>
        </w:numPr>
      </w:pPr>
      <w:bookmarkStart w:id="714" w:name="_Toc101439074"/>
      <w:r w:rsidRPr="005E10FB">
        <w:t>Appendix</w:t>
      </w:r>
      <w:r>
        <w:t xml:space="preserve"> 1. Referenced Web Sites</w:t>
      </w:r>
      <w:bookmarkEnd w:id="714"/>
    </w:p>
    <w:p w14:paraId="61821EE3" w14:textId="77777777" w:rsidR="001A00CD" w:rsidRDefault="00E9069F" w:rsidP="005E44A4">
      <w:pPr>
        <w:pStyle w:val="Heading2"/>
      </w:pPr>
      <w:bookmarkStart w:id="715" w:name="_Toc101439075"/>
      <w:r>
        <w:t>A1.1 Curtin Internal Web Sites</w:t>
      </w:r>
      <w:bookmarkEnd w:id="715"/>
    </w:p>
    <w:p w14:paraId="61821EE4" w14:textId="77777777" w:rsidR="00A67243" w:rsidRDefault="00E9069F" w:rsidP="00D62420">
      <w:pPr>
        <w:pStyle w:val="ListParagraph"/>
        <w:numPr>
          <w:ilvl w:val="0"/>
          <w:numId w:val="4"/>
        </w:numPr>
        <w:spacing w:before="120" w:after="60"/>
        <w:contextualSpacing w:val="0"/>
        <w:jc w:val="left"/>
        <w:rPr>
          <w:sz w:val="18"/>
          <w:szCs w:val="18"/>
        </w:rPr>
      </w:pPr>
      <w:r w:rsidRPr="00A67243">
        <w:rPr>
          <w:sz w:val="18"/>
          <w:szCs w:val="18"/>
        </w:rPr>
        <w:t xml:space="preserve">Compliance </w:t>
      </w:r>
      <w:r>
        <w:rPr>
          <w:sz w:val="18"/>
          <w:szCs w:val="18"/>
        </w:rPr>
        <w:t>Framework, Compliance Services.</w:t>
      </w:r>
      <w:r>
        <w:rPr>
          <w:sz w:val="18"/>
          <w:szCs w:val="18"/>
        </w:rPr>
        <w:br/>
      </w:r>
      <w:hyperlink r:id="rId69" w:history="1">
        <w:r w:rsidRPr="00742ECD">
          <w:rPr>
            <w:rStyle w:val="Hyperlink"/>
            <w:sz w:val="18"/>
            <w:szCs w:val="18"/>
          </w:rPr>
          <w:t>https://policies.curtin.edu.au/compliance/complianceframework.cfm</w:t>
        </w:r>
      </w:hyperlink>
    </w:p>
    <w:p w14:paraId="61821EE5" w14:textId="77777777" w:rsidR="00216765" w:rsidRPr="000950A0" w:rsidRDefault="00E9069F" w:rsidP="00D62420">
      <w:pPr>
        <w:pStyle w:val="ListParagraph"/>
        <w:numPr>
          <w:ilvl w:val="0"/>
          <w:numId w:val="4"/>
        </w:numPr>
        <w:spacing w:before="120" w:after="60"/>
        <w:contextualSpacing w:val="0"/>
        <w:jc w:val="left"/>
        <w:rPr>
          <w:sz w:val="18"/>
          <w:szCs w:val="18"/>
        </w:rPr>
      </w:pPr>
      <w:r w:rsidRPr="000950A0">
        <w:rPr>
          <w:sz w:val="18"/>
          <w:szCs w:val="18"/>
        </w:rPr>
        <w:t>Emergency Management Plans, Emergency Management.</w:t>
      </w:r>
      <w:r w:rsidRPr="000950A0">
        <w:rPr>
          <w:sz w:val="18"/>
          <w:szCs w:val="18"/>
        </w:rPr>
        <w:br/>
      </w:r>
      <w:hyperlink r:id="rId70" w:history="1">
        <w:r w:rsidRPr="000950A0">
          <w:rPr>
            <w:rStyle w:val="Hyperlink"/>
            <w:sz w:val="18"/>
            <w:szCs w:val="18"/>
          </w:rPr>
          <w:t>https://healthandsafety.curtin.edu.au/emergency_management/plan.cfm</w:t>
        </w:r>
      </w:hyperlink>
    </w:p>
    <w:p w14:paraId="61821EE6" w14:textId="77777777" w:rsidR="00D10922" w:rsidRPr="000950A0" w:rsidRDefault="00E9069F" w:rsidP="00D62420">
      <w:pPr>
        <w:pStyle w:val="ListParagraph"/>
        <w:numPr>
          <w:ilvl w:val="0"/>
          <w:numId w:val="4"/>
        </w:numPr>
        <w:spacing w:before="120" w:after="60"/>
        <w:ind w:left="357" w:hanging="357"/>
        <w:contextualSpacing w:val="0"/>
        <w:jc w:val="left"/>
        <w:rPr>
          <w:sz w:val="18"/>
          <w:szCs w:val="18"/>
        </w:rPr>
      </w:pPr>
      <w:r w:rsidRPr="000950A0">
        <w:rPr>
          <w:sz w:val="18"/>
          <w:szCs w:val="18"/>
        </w:rPr>
        <w:t xml:space="preserve">Health and Safety, Department of </w:t>
      </w:r>
      <w:proofErr w:type="gramStart"/>
      <w:r w:rsidRPr="000950A0">
        <w:rPr>
          <w:sz w:val="18"/>
          <w:szCs w:val="18"/>
        </w:rPr>
        <w:t>Health</w:t>
      </w:r>
      <w:proofErr w:type="gramEnd"/>
      <w:r w:rsidRPr="000950A0">
        <w:rPr>
          <w:sz w:val="18"/>
          <w:szCs w:val="18"/>
        </w:rPr>
        <w:t xml:space="preserve"> and Safety.</w:t>
      </w:r>
      <w:r w:rsidRPr="000950A0">
        <w:rPr>
          <w:sz w:val="18"/>
          <w:szCs w:val="18"/>
        </w:rPr>
        <w:br/>
      </w:r>
      <w:hyperlink r:id="rId71" w:history="1">
        <w:r w:rsidRPr="000950A0">
          <w:rPr>
            <w:rStyle w:val="Hyperlink"/>
            <w:sz w:val="18"/>
            <w:szCs w:val="18"/>
          </w:rPr>
          <w:t>https://healthandsafety.curtin.edu.au/index.cfm</w:t>
        </w:r>
      </w:hyperlink>
    </w:p>
    <w:p w14:paraId="61821EE7" w14:textId="77777777" w:rsidR="001A00CD" w:rsidRPr="000950A0" w:rsidRDefault="00E9069F" w:rsidP="00D62420">
      <w:pPr>
        <w:pStyle w:val="ListParagraph"/>
        <w:numPr>
          <w:ilvl w:val="1"/>
          <w:numId w:val="4"/>
        </w:numPr>
        <w:spacing w:before="120" w:after="60"/>
        <w:contextualSpacing w:val="0"/>
        <w:jc w:val="left"/>
        <w:rPr>
          <w:sz w:val="18"/>
          <w:szCs w:val="18"/>
        </w:rPr>
      </w:pPr>
      <w:r w:rsidRPr="000950A0">
        <w:rPr>
          <w:sz w:val="18"/>
          <w:szCs w:val="18"/>
        </w:rPr>
        <w:t xml:space="preserve">Hazardous Materials Website, </w:t>
      </w:r>
      <w:r w:rsidR="00D10922" w:rsidRPr="000950A0">
        <w:rPr>
          <w:sz w:val="18"/>
          <w:szCs w:val="18"/>
        </w:rPr>
        <w:t xml:space="preserve">Department of </w:t>
      </w:r>
      <w:proofErr w:type="gramStart"/>
      <w:r w:rsidRPr="000950A0">
        <w:rPr>
          <w:sz w:val="18"/>
          <w:szCs w:val="18"/>
        </w:rPr>
        <w:t>Health</w:t>
      </w:r>
      <w:proofErr w:type="gramEnd"/>
      <w:r w:rsidRPr="000950A0">
        <w:rPr>
          <w:sz w:val="18"/>
          <w:szCs w:val="18"/>
        </w:rPr>
        <w:t xml:space="preserve"> and Safety.</w:t>
      </w:r>
      <w:r w:rsidRPr="000950A0">
        <w:rPr>
          <w:sz w:val="18"/>
          <w:szCs w:val="18"/>
        </w:rPr>
        <w:br/>
      </w:r>
      <w:hyperlink r:id="rId72" w:history="1">
        <w:r w:rsidRPr="000950A0">
          <w:rPr>
            <w:rStyle w:val="Hyperlink"/>
            <w:sz w:val="18"/>
            <w:szCs w:val="18"/>
          </w:rPr>
          <w:t>https://healthandsafety.curtin.edu.au/hazardous-materials/index.cfm</w:t>
        </w:r>
      </w:hyperlink>
    </w:p>
    <w:p w14:paraId="61821EE8" w14:textId="77777777" w:rsidR="00300DCF" w:rsidRPr="000950A0" w:rsidRDefault="00E9069F" w:rsidP="00D62420">
      <w:pPr>
        <w:pStyle w:val="ListParagraph"/>
        <w:numPr>
          <w:ilvl w:val="2"/>
          <w:numId w:val="4"/>
        </w:numPr>
        <w:spacing w:before="120" w:after="60"/>
        <w:contextualSpacing w:val="0"/>
        <w:jc w:val="left"/>
        <w:rPr>
          <w:sz w:val="18"/>
          <w:szCs w:val="18"/>
        </w:rPr>
      </w:pPr>
      <w:r w:rsidRPr="000950A0">
        <w:rPr>
          <w:sz w:val="18"/>
          <w:szCs w:val="18"/>
        </w:rPr>
        <w:t xml:space="preserve">Chemical Sample Label Template, Department of </w:t>
      </w:r>
      <w:proofErr w:type="gramStart"/>
      <w:r w:rsidRPr="000950A0">
        <w:rPr>
          <w:sz w:val="18"/>
          <w:szCs w:val="18"/>
        </w:rPr>
        <w:t>Health</w:t>
      </w:r>
      <w:proofErr w:type="gramEnd"/>
      <w:r w:rsidRPr="000950A0">
        <w:rPr>
          <w:sz w:val="18"/>
          <w:szCs w:val="18"/>
        </w:rPr>
        <w:t xml:space="preserve"> and Safety.</w:t>
      </w:r>
      <w:r w:rsidRPr="000950A0">
        <w:rPr>
          <w:sz w:val="18"/>
          <w:szCs w:val="18"/>
        </w:rPr>
        <w:br/>
      </w:r>
      <w:hyperlink r:id="rId73" w:history="1">
        <w:r w:rsidRPr="000950A0">
          <w:rPr>
            <w:rStyle w:val="Hyperlink"/>
            <w:sz w:val="18"/>
            <w:szCs w:val="18"/>
          </w:rPr>
          <w:t>https://healthandsafety.curtin.edu.au/Labeltemplate.doc</w:t>
        </w:r>
      </w:hyperlink>
      <w:r w:rsidRPr="000950A0">
        <w:rPr>
          <w:sz w:val="18"/>
          <w:szCs w:val="18"/>
        </w:rPr>
        <w:t xml:space="preserve"> </w:t>
      </w:r>
    </w:p>
    <w:p w14:paraId="61821EE9" w14:textId="77777777" w:rsidR="0012723F" w:rsidRPr="000950A0" w:rsidRDefault="00E9069F" w:rsidP="00D62420">
      <w:pPr>
        <w:pStyle w:val="ListParagraph"/>
        <w:numPr>
          <w:ilvl w:val="1"/>
          <w:numId w:val="4"/>
        </w:numPr>
        <w:spacing w:before="120" w:after="60"/>
        <w:contextualSpacing w:val="0"/>
        <w:jc w:val="left"/>
        <w:rPr>
          <w:sz w:val="18"/>
          <w:szCs w:val="18"/>
        </w:rPr>
      </w:pPr>
      <w:r w:rsidRPr="000950A0">
        <w:rPr>
          <w:sz w:val="18"/>
          <w:szCs w:val="18"/>
        </w:rPr>
        <w:t>Incident and Hazard Reporting (CHARM), Department of Health and Safety.</w:t>
      </w:r>
      <w:r w:rsidRPr="000950A0">
        <w:rPr>
          <w:sz w:val="18"/>
          <w:szCs w:val="18"/>
        </w:rPr>
        <w:br/>
      </w:r>
      <w:hyperlink r:id="rId74" w:history="1">
        <w:r w:rsidRPr="000950A0">
          <w:rPr>
            <w:rStyle w:val="Hyperlink"/>
            <w:sz w:val="18"/>
            <w:szCs w:val="18"/>
          </w:rPr>
          <w:t>https://healthandsafety.curtin.edu.au/event_and_hazard/index.cfm</w:t>
        </w:r>
      </w:hyperlink>
    </w:p>
    <w:p w14:paraId="61821EEA" w14:textId="77777777" w:rsidR="004A10BE" w:rsidRPr="000950A0" w:rsidRDefault="00E9069F" w:rsidP="00D62420">
      <w:pPr>
        <w:pStyle w:val="ListParagraph"/>
        <w:numPr>
          <w:ilvl w:val="1"/>
          <w:numId w:val="4"/>
        </w:numPr>
        <w:spacing w:before="120" w:after="60"/>
        <w:contextualSpacing w:val="0"/>
        <w:jc w:val="left"/>
        <w:rPr>
          <w:sz w:val="18"/>
          <w:szCs w:val="18"/>
        </w:rPr>
      </w:pPr>
      <w:r w:rsidRPr="000950A0">
        <w:rPr>
          <w:sz w:val="18"/>
          <w:szCs w:val="18"/>
        </w:rPr>
        <w:t xml:space="preserve">Policies and Procedures, Department of </w:t>
      </w:r>
      <w:proofErr w:type="gramStart"/>
      <w:r w:rsidRPr="000950A0">
        <w:rPr>
          <w:sz w:val="18"/>
          <w:szCs w:val="18"/>
        </w:rPr>
        <w:t>Health</w:t>
      </w:r>
      <w:proofErr w:type="gramEnd"/>
      <w:r w:rsidRPr="000950A0">
        <w:rPr>
          <w:sz w:val="18"/>
          <w:szCs w:val="18"/>
        </w:rPr>
        <w:t xml:space="preserve"> and Safety. </w:t>
      </w:r>
      <w:hyperlink r:id="rId75" w:history="1">
        <w:r w:rsidRPr="000950A0">
          <w:rPr>
            <w:rStyle w:val="Hyperlink"/>
            <w:sz w:val="18"/>
            <w:szCs w:val="18"/>
          </w:rPr>
          <w:t>https://healthandsafety.curtin.edu.au/safety_management/Policies_AZ.cfm</w:t>
        </w:r>
      </w:hyperlink>
    </w:p>
    <w:p w14:paraId="61821EEB" w14:textId="77777777" w:rsidR="00F62F1D" w:rsidRPr="000950A0" w:rsidRDefault="00E9069F" w:rsidP="00D62420">
      <w:pPr>
        <w:pStyle w:val="ListParagraph"/>
        <w:numPr>
          <w:ilvl w:val="1"/>
          <w:numId w:val="4"/>
        </w:numPr>
        <w:spacing w:before="120" w:after="60"/>
        <w:contextualSpacing w:val="0"/>
        <w:jc w:val="left"/>
        <w:rPr>
          <w:sz w:val="18"/>
          <w:szCs w:val="18"/>
        </w:rPr>
      </w:pPr>
      <w:r w:rsidRPr="000950A0">
        <w:rPr>
          <w:sz w:val="18"/>
          <w:szCs w:val="18"/>
        </w:rPr>
        <w:t xml:space="preserve">Training, </w:t>
      </w:r>
      <w:r w:rsidR="00D10922" w:rsidRPr="000950A0">
        <w:rPr>
          <w:sz w:val="18"/>
          <w:szCs w:val="18"/>
        </w:rPr>
        <w:t xml:space="preserve">Department of </w:t>
      </w:r>
      <w:proofErr w:type="gramStart"/>
      <w:r w:rsidRPr="000950A0">
        <w:rPr>
          <w:sz w:val="18"/>
          <w:szCs w:val="18"/>
        </w:rPr>
        <w:t>Health</w:t>
      </w:r>
      <w:proofErr w:type="gramEnd"/>
      <w:r w:rsidRPr="000950A0">
        <w:rPr>
          <w:sz w:val="18"/>
          <w:szCs w:val="18"/>
        </w:rPr>
        <w:t xml:space="preserve"> and Safety.</w:t>
      </w:r>
      <w:r w:rsidRPr="000950A0">
        <w:rPr>
          <w:sz w:val="18"/>
          <w:szCs w:val="18"/>
        </w:rPr>
        <w:br/>
      </w:r>
      <w:hyperlink r:id="rId76" w:history="1">
        <w:r w:rsidRPr="000950A0">
          <w:rPr>
            <w:rStyle w:val="Hyperlink"/>
            <w:sz w:val="18"/>
            <w:szCs w:val="18"/>
          </w:rPr>
          <w:t>https://healthandsafety.curtin.edu.au/training/index.cfm</w:t>
        </w:r>
      </w:hyperlink>
    </w:p>
    <w:p w14:paraId="61821EEC" w14:textId="77777777" w:rsidR="00D10922" w:rsidRPr="000950A0" w:rsidRDefault="00E9069F" w:rsidP="00D62420">
      <w:pPr>
        <w:pStyle w:val="ListParagraph"/>
        <w:numPr>
          <w:ilvl w:val="0"/>
          <w:numId w:val="4"/>
        </w:numPr>
        <w:spacing w:before="120" w:after="60"/>
        <w:ind w:left="357" w:hanging="357"/>
        <w:contextualSpacing w:val="0"/>
        <w:jc w:val="left"/>
        <w:rPr>
          <w:sz w:val="18"/>
          <w:szCs w:val="18"/>
        </w:rPr>
      </w:pPr>
      <w:r w:rsidRPr="000950A0">
        <w:rPr>
          <w:sz w:val="18"/>
          <w:szCs w:val="18"/>
        </w:rPr>
        <w:t>Guidelines</w:t>
      </w:r>
      <w:r w:rsidR="004A10BE" w:rsidRPr="000950A0">
        <w:rPr>
          <w:sz w:val="18"/>
          <w:szCs w:val="18"/>
        </w:rPr>
        <w:t>;</w:t>
      </w:r>
      <w:r w:rsidRPr="000950A0">
        <w:rPr>
          <w:sz w:val="18"/>
          <w:szCs w:val="18"/>
        </w:rPr>
        <w:t xml:space="preserve"> Properties, Facilities &amp; Development.</w:t>
      </w:r>
      <w:r w:rsidRPr="000950A0">
        <w:rPr>
          <w:sz w:val="18"/>
          <w:szCs w:val="18"/>
        </w:rPr>
        <w:br/>
      </w:r>
      <w:hyperlink r:id="rId77" w:history="1">
        <w:r w:rsidRPr="000950A0">
          <w:rPr>
            <w:rStyle w:val="Hyperlink"/>
            <w:sz w:val="18"/>
            <w:szCs w:val="18"/>
          </w:rPr>
          <w:t>https://properties.curtin.edu.au/working-with-us/guidelines.cfm</w:t>
        </w:r>
      </w:hyperlink>
    </w:p>
    <w:p w14:paraId="61821EED" w14:textId="77777777" w:rsidR="004A10BE" w:rsidRPr="000950A0" w:rsidRDefault="00E9069F" w:rsidP="00D62420">
      <w:pPr>
        <w:pStyle w:val="ListParagraph"/>
        <w:numPr>
          <w:ilvl w:val="1"/>
          <w:numId w:val="4"/>
        </w:numPr>
        <w:spacing w:before="120" w:after="60"/>
        <w:contextualSpacing w:val="0"/>
        <w:jc w:val="left"/>
        <w:rPr>
          <w:sz w:val="18"/>
          <w:szCs w:val="18"/>
        </w:rPr>
      </w:pPr>
      <w:r w:rsidRPr="000950A0">
        <w:rPr>
          <w:sz w:val="18"/>
          <w:szCs w:val="18"/>
        </w:rPr>
        <w:t>Guidance for the Storage of Chemicals</w:t>
      </w:r>
      <w:r w:rsidR="00684DEA" w:rsidRPr="000950A0">
        <w:rPr>
          <w:sz w:val="18"/>
          <w:szCs w:val="18"/>
        </w:rPr>
        <w:t>;</w:t>
      </w:r>
      <w:r w:rsidRPr="000950A0">
        <w:rPr>
          <w:sz w:val="18"/>
          <w:szCs w:val="18"/>
        </w:rPr>
        <w:t xml:space="preserve"> Properties, Facilities &amp; Development.</w:t>
      </w:r>
      <w:r w:rsidRPr="000950A0">
        <w:rPr>
          <w:sz w:val="18"/>
          <w:szCs w:val="18"/>
        </w:rPr>
        <w:br/>
      </w:r>
      <w:hyperlink r:id="rId78" w:history="1">
        <w:r w:rsidRPr="000950A0">
          <w:rPr>
            <w:rStyle w:val="Hyperlink"/>
            <w:sz w:val="18"/>
            <w:szCs w:val="18"/>
          </w:rPr>
          <w:t>https://properties.curtin.edu.au/local/docs/guidelines/StorageOfChemicals-V01.pdf</w:t>
        </w:r>
      </w:hyperlink>
    </w:p>
    <w:p w14:paraId="61821EEE" w14:textId="77777777" w:rsidR="00300DCF" w:rsidRPr="000950A0" w:rsidRDefault="00E9069F" w:rsidP="00D62420">
      <w:pPr>
        <w:pStyle w:val="ListParagraph"/>
        <w:numPr>
          <w:ilvl w:val="1"/>
          <w:numId w:val="4"/>
        </w:numPr>
        <w:spacing w:before="120" w:after="60"/>
        <w:contextualSpacing w:val="0"/>
        <w:jc w:val="left"/>
        <w:rPr>
          <w:sz w:val="18"/>
          <w:szCs w:val="18"/>
        </w:rPr>
      </w:pPr>
      <w:r w:rsidRPr="000950A0">
        <w:rPr>
          <w:sz w:val="18"/>
          <w:szCs w:val="18"/>
        </w:rPr>
        <w:t>Guidance for Gas Management and Gas Store Design</w:t>
      </w:r>
      <w:r w:rsidR="00684DEA" w:rsidRPr="000950A0">
        <w:rPr>
          <w:sz w:val="18"/>
          <w:szCs w:val="18"/>
        </w:rPr>
        <w:t>;</w:t>
      </w:r>
      <w:r w:rsidRPr="000950A0">
        <w:rPr>
          <w:sz w:val="18"/>
          <w:szCs w:val="18"/>
        </w:rPr>
        <w:t xml:space="preserve"> Properties, Facilities &amp; Development.</w:t>
      </w:r>
      <w:r w:rsidRPr="000950A0">
        <w:rPr>
          <w:sz w:val="18"/>
          <w:szCs w:val="18"/>
        </w:rPr>
        <w:br/>
      </w:r>
      <w:hyperlink r:id="rId79" w:history="1">
        <w:r w:rsidRPr="000950A0">
          <w:rPr>
            <w:rStyle w:val="Hyperlink"/>
            <w:sz w:val="18"/>
            <w:szCs w:val="18"/>
          </w:rPr>
          <w:t>https://properties.curtin.edu.au/local/docs/guidelines/GasManagementGasStoreDesign-V01.pdf</w:t>
        </w:r>
      </w:hyperlink>
      <w:r w:rsidRPr="000950A0">
        <w:rPr>
          <w:sz w:val="18"/>
          <w:szCs w:val="18"/>
        </w:rPr>
        <w:t xml:space="preserve"> </w:t>
      </w:r>
    </w:p>
    <w:p w14:paraId="61821EEF" w14:textId="77777777" w:rsidR="00C95AD5" w:rsidRPr="000950A0" w:rsidRDefault="00E9069F" w:rsidP="00D62420">
      <w:pPr>
        <w:pStyle w:val="ListParagraph"/>
        <w:numPr>
          <w:ilvl w:val="0"/>
          <w:numId w:val="4"/>
        </w:numPr>
        <w:spacing w:before="120" w:after="60"/>
        <w:contextualSpacing w:val="0"/>
        <w:jc w:val="left"/>
        <w:rPr>
          <w:sz w:val="18"/>
          <w:szCs w:val="18"/>
        </w:rPr>
      </w:pPr>
      <w:r w:rsidRPr="000950A0">
        <w:rPr>
          <w:sz w:val="18"/>
          <w:szCs w:val="18"/>
        </w:rPr>
        <w:lastRenderedPageBreak/>
        <w:t>Manage your research, Research Office at Curtin.</w:t>
      </w:r>
      <w:r w:rsidRPr="000950A0">
        <w:rPr>
          <w:sz w:val="18"/>
          <w:szCs w:val="18"/>
        </w:rPr>
        <w:br/>
      </w:r>
      <w:hyperlink r:id="rId80" w:history="1">
        <w:r w:rsidRPr="000950A0">
          <w:rPr>
            <w:rStyle w:val="Hyperlink"/>
            <w:sz w:val="18"/>
            <w:szCs w:val="18"/>
          </w:rPr>
          <w:t>https://staffportal.curtin.edu.au/research/manage-research/</w:t>
        </w:r>
      </w:hyperlink>
    </w:p>
    <w:p w14:paraId="61821EF0" w14:textId="77777777" w:rsidR="00D10922" w:rsidRPr="000950A0" w:rsidRDefault="00E9069F" w:rsidP="00D62420">
      <w:pPr>
        <w:pStyle w:val="ListParagraph"/>
        <w:numPr>
          <w:ilvl w:val="0"/>
          <w:numId w:val="4"/>
        </w:numPr>
        <w:spacing w:before="120" w:after="60"/>
        <w:contextualSpacing w:val="0"/>
        <w:jc w:val="left"/>
        <w:rPr>
          <w:sz w:val="18"/>
          <w:szCs w:val="18"/>
        </w:rPr>
      </w:pPr>
      <w:r w:rsidRPr="000950A0">
        <w:rPr>
          <w:sz w:val="18"/>
          <w:szCs w:val="18"/>
        </w:rPr>
        <w:t xml:space="preserve">Policies, </w:t>
      </w:r>
      <w:r w:rsidR="004A10BE" w:rsidRPr="000950A0">
        <w:rPr>
          <w:sz w:val="18"/>
          <w:szCs w:val="18"/>
        </w:rPr>
        <w:t>Compliance Services</w:t>
      </w:r>
      <w:r w:rsidRPr="000950A0">
        <w:rPr>
          <w:sz w:val="18"/>
          <w:szCs w:val="18"/>
        </w:rPr>
        <w:t>.</w:t>
      </w:r>
      <w:r w:rsidRPr="000950A0">
        <w:rPr>
          <w:sz w:val="18"/>
          <w:szCs w:val="18"/>
        </w:rPr>
        <w:br/>
      </w:r>
      <w:hyperlink r:id="rId81" w:history="1">
        <w:r w:rsidRPr="000950A0">
          <w:rPr>
            <w:rStyle w:val="Hyperlink"/>
            <w:sz w:val="18"/>
            <w:szCs w:val="18"/>
          </w:rPr>
          <w:t>https://policies.curtin.edu.au/findapolicy/</w:t>
        </w:r>
      </w:hyperlink>
      <w:r w:rsidRPr="000950A0">
        <w:rPr>
          <w:sz w:val="18"/>
          <w:szCs w:val="18"/>
        </w:rPr>
        <w:t xml:space="preserve"> </w:t>
      </w:r>
    </w:p>
    <w:p w14:paraId="61821EF1" w14:textId="77777777" w:rsidR="00DA65C4" w:rsidRPr="000950A0" w:rsidRDefault="00E9069F" w:rsidP="00D62420">
      <w:pPr>
        <w:pStyle w:val="ListParagraph"/>
        <w:numPr>
          <w:ilvl w:val="0"/>
          <w:numId w:val="4"/>
        </w:numPr>
        <w:spacing w:before="120" w:after="60"/>
        <w:contextualSpacing w:val="0"/>
        <w:jc w:val="left"/>
        <w:rPr>
          <w:sz w:val="18"/>
          <w:szCs w:val="18"/>
        </w:rPr>
      </w:pPr>
      <w:r w:rsidRPr="000950A0">
        <w:rPr>
          <w:sz w:val="18"/>
          <w:szCs w:val="18"/>
        </w:rPr>
        <w:t xml:space="preserve">Risk Management Framework, Risk Management. </w:t>
      </w:r>
      <w:hyperlink r:id="rId82" w:history="1">
        <w:r w:rsidRPr="000950A0">
          <w:rPr>
            <w:rStyle w:val="Hyperlink"/>
            <w:sz w:val="18"/>
            <w:szCs w:val="18"/>
          </w:rPr>
          <w:t>https://riskandassurance.curtin.edu.au/risk_management/RiskManagementFramework.cfm</w:t>
        </w:r>
      </w:hyperlink>
    </w:p>
    <w:p w14:paraId="61821EF2" w14:textId="77777777" w:rsidR="00284A6D" w:rsidRPr="000950A0" w:rsidRDefault="00E9069F" w:rsidP="00D62420">
      <w:pPr>
        <w:pStyle w:val="ListParagraph"/>
        <w:numPr>
          <w:ilvl w:val="0"/>
          <w:numId w:val="4"/>
        </w:numPr>
        <w:spacing w:before="120" w:after="60"/>
        <w:contextualSpacing w:val="0"/>
        <w:jc w:val="left"/>
        <w:rPr>
          <w:sz w:val="18"/>
          <w:szCs w:val="18"/>
        </w:rPr>
      </w:pPr>
      <w:r w:rsidRPr="000950A0">
        <w:rPr>
          <w:sz w:val="18"/>
          <w:szCs w:val="18"/>
        </w:rPr>
        <w:t>Work Integrated Learning.</w:t>
      </w:r>
      <w:r w:rsidRPr="000950A0">
        <w:rPr>
          <w:sz w:val="18"/>
          <w:szCs w:val="18"/>
        </w:rPr>
        <w:br/>
      </w:r>
      <w:hyperlink r:id="rId83" w:history="1">
        <w:r w:rsidRPr="000950A0">
          <w:rPr>
            <w:rStyle w:val="Hyperlink"/>
            <w:sz w:val="18"/>
            <w:szCs w:val="18"/>
          </w:rPr>
          <w:t>https://ctl.curtin.edu.au/wil/index.cfm</w:t>
        </w:r>
      </w:hyperlink>
    </w:p>
    <w:p w14:paraId="61821EF3" w14:textId="77777777" w:rsidR="00F62F1D" w:rsidRDefault="00E9069F" w:rsidP="005E44A4">
      <w:pPr>
        <w:pStyle w:val="Heading2"/>
      </w:pPr>
      <w:bookmarkStart w:id="716" w:name="_Toc101439076"/>
      <w:r>
        <w:t>A1.2 Legislati</w:t>
      </w:r>
      <w:r w:rsidR="00D366C3">
        <w:t>on</w:t>
      </w:r>
      <w:r>
        <w:t xml:space="preserve"> Web Sites</w:t>
      </w:r>
      <w:bookmarkEnd w:id="716"/>
    </w:p>
    <w:p w14:paraId="61821EF4" w14:textId="77777777" w:rsidR="001A00CD" w:rsidRPr="000950A0" w:rsidRDefault="00E9069F" w:rsidP="00D62420">
      <w:pPr>
        <w:pStyle w:val="ListParagraph"/>
        <w:numPr>
          <w:ilvl w:val="0"/>
          <w:numId w:val="4"/>
        </w:numPr>
        <w:spacing w:before="120" w:after="60"/>
        <w:contextualSpacing w:val="0"/>
        <w:jc w:val="left"/>
        <w:rPr>
          <w:sz w:val="18"/>
          <w:szCs w:val="18"/>
        </w:rPr>
      </w:pPr>
      <w:r w:rsidRPr="000950A0">
        <w:rPr>
          <w:sz w:val="18"/>
          <w:szCs w:val="18"/>
        </w:rPr>
        <w:t>State Law Publisher</w:t>
      </w:r>
      <w:r w:rsidR="00F62F1D" w:rsidRPr="000950A0">
        <w:rPr>
          <w:sz w:val="18"/>
          <w:szCs w:val="18"/>
        </w:rPr>
        <w:t>, Government of Western Australia.</w:t>
      </w:r>
      <w:r w:rsidR="00F62F1D" w:rsidRPr="000950A0">
        <w:rPr>
          <w:sz w:val="18"/>
          <w:szCs w:val="18"/>
        </w:rPr>
        <w:br/>
      </w:r>
      <w:hyperlink r:id="rId84" w:history="1">
        <w:r w:rsidR="00F62F1D" w:rsidRPr="000950A0">
          <w:rPr>
            <w:rStyle w:val="Hyperlink"/>
            <w:sz w:val="18"/>
            <w:szCs w:val="18"/>
          </w:rPr>
          <w:t>http://www.slp.wa.gov.au/Index.html</w:t>
        </w:r>
      </w:hyperlink>
    </w:p>
    <w:p w14:paraId="61821EF5" w14:textId="77777777" w:rsidR="00284A6D" w:rsidRPr="000950A0" w:rsidRDefault="00E9069F" w:rsidP="00D62420">
      <w:pPr>
        <w:pStyle w:val="ListParagraph"/>
        <w:numPr>
          <w:ilvl w:val="0"/>
          <w:numId w:val="4"/>
        </w:numPr>
        <w:spacing w:before="120" w:after="60"/>
        <w:contextualSpacing w:val="0"/>
        <w:jc w:val="left"/>
        <w:rPr>
          <w:sz w:val="18"/>
          <w:szCs w:val="18"/>
        </w:rPr>
      </w:pPr>
      <w:r w:rsidRPr="000950A0">
        <w:rPr>
          <w:sz w:val="18"/>
          <w:szCs w:val="18"/>
        </w:rPr>
        <w:t>Federal</w:t>
      </w:r>
      <w:r w:rsidRPr="000950A0">
        <w:rPr>
          <w:rFonts w:cs="Arial"/>
          <w:color w:val="000000"/>
          <w:sz w:val="18"/>
          <w:szCs w:val="18"/>
          <w:shd w:val="clear" w:color="auto" w:fill="FFFFFF"/>
        </w:rPr>
        <w:t xml:space="preserve"> Register of Legislation, Australian Government.</w:t>
      </w:r>
      <w:r w:rsidRPr="000950A0">
        <w:rPr>
          <w:rFonts w:cs="Arial"/>
          <w:color w:val="000000"/>
          <w:sz w:val="18"/>
          <w:szCs w:val="18"/>
          <w:shd w:val="clear" w:color="auto" w:fill="FFFFFF"/>
        </w:rPr>
        <w:br/>
      </w:r>
      <w:hyperlink r:id="rId85" w:history="1">
        <w:r w:rsidRPr="000950A0">
          <w:rPr>
            <w:rStyle w:val="Hyperlink"/>
            <w:sz w:val="18"/>
            <w:szCs w:val="18"/>
          </w:rPr>
          <w:t>https://www.legislation.gov.au/</w:t>
        </w:r>
      </w:hyperlink>
    </w:p>
    <w:p w14:paraId="61821EF6" w14:textId="77777777" w:rsidR="00300DCF" w:rsidRDefault="00E9069F" w:rsidP="005E44A4">
      <w:pPr>
        <w:pStyle w:val="Heading2"/>
      </w:pPr>
      <w:bookmarkStart w:id="717" w:name="_Toc101439077"/>
      <w:r>
        <w:t xml:space="preserve">A1.3 Standards, Codes and </w:t>
      </w:r>
      <w:r w:rsidR="00216765">
        <w:t xml:space="preserve">Further </w:t>
      </w:r>
      <w:r>
        <w:t>Guidance</w:t>
      </w:r>
      <w:bookmarkEnd w:id="717"/>
      <w:r>
        <w:t xml:space="preserve"> </w:t>
      </w:r>
    </w:p>
    <w:p w14:paraId="61821EF7" w14:textId="77777777" w:rsidR="00300DCF" w:rsidRPr="000950A0" w:rsidRDefault="00E9069F" w:rsidP="00D62420">
      <w:pPr>
        <w:pStyle w:val="ListParagraph"/>
        <w:numPr>
          <w:ilvl w:val="0"/>
          <w:numId w:val="4"/>
        </w:numPr>
        <w:spacing w:before="120" w:after="60"/>
        <w:contextualSpacing w:val="0"/>
        <w:jc w:val="left"/>
        <w:rPr>
          <w:sz w:val="18"/>
          <w:szCs w:val="18"/>
        </w:rPr>
      </w:pPr>
      <w:r w:rsidRPr="000950A0">
        <w:rPr>
          <w:sz w:val="18"/>
          <w:szCs w:val="18"/>
        </w:rPr>
        <w:t xml:space="preserve">Australian </w:t>
      </w:r>
      <w:r w:rsidR="00684DEA" w:rsidRPr="000950A0">
        <w:rPr>
          <w:sz w:val="18"/>
          <w:szCs w:val="18"/>
        </w:rPr>
        <w:t>S</w:t>
      </w:r>
      <w:r w:rsidRPr="000950A0">
        <w:rPr>
          <w:sz w:val="18"/>
          <w:szCs w:val="18"/>
        </w:rPr>
        <w:t>tandards, SAI Global.</w:t>
      </w:r>
      <w:r w:rsidRPr="000950A0">
        <w:rPr>
          <w:sz w:val="18"/>
          <w:szCs w:val="18"/>
        </w:rPr>
        <w:br/>
      </w:r>
      <w:hyperlink r:id="rId86" w:history="1">
        <w:r w:rsidRPr="000950A0">
          <w:rPr>
            <w:rStyle w:val="Hyperlink"/>
            <w:sz w:val="18"/>
            <w:szCs w:val="18"/>
          </w:rPr>
          <w:t>https://link.library.curtin.edu.au/cgi-bin/auth-ng/gateway.cgi?url=http://www.saiglobal.com</w:t>
        </w:r>
        <w:r w:rsidRPr="000950A0">
          <w:rPr>
            <w:rStyle w:val="Hyperlink"/>
            <w:sz w:val="18"/>
            <w:szCs w:val="18"/>
          </w:rPr>
          <w:br/>
          <w:t>/online/autologin.asp</w:t>
        </w:r>
      </w:hyperlink>
    </w:p>
    <w:p w14:paraId="61821EF8" w14:textId="77777777" w:rsidR="00216765" w:rsidRPr="000950A0" w:rsidRDefault="00E9069F" w:rsidP="00D62420">
      <w:pPr>
        <w:pStyle w:val="ListParagraph"/>
        <w:numPr>
          <w:ilvl w:val="0"/>
          <w:numId w:val="4"/>
        </w:numPr>
        <w:spacing w:before="120" w:after="60"/>
        <w:contextualSpacing w:val="0"/>
        <w:jc w:val="left"/>
        <w:rPr>
          <w:sz w:val="18"/>
          <w:szCs w:val="18"/>
        </w:rPr>
      </w:pPr>
      <w:r w:rsidRPr="000950A0">
        <w:rPr>
          <w:sz w:val="18"/>
          <w:szCs w:val="18"/>
        </w:rPr>
        <w:t xml:space="preserve">Concessional </w:t>
      </w:r>
      <w:r w:rsidR="00684DEA" w:rsidRPr="000950A0">
        <w:rPr>
          <w:sz w:val="18"/>
          <w:szCs w:val="18"/>
        </w:rPr>
        <w:t>S</w:t>
      </w:r>
      <w:r w:rsidRPr="000950A0">
        <w:rPr>
          <w:sz w:val="18"/>
          <w:szCs w:val="18"/>
        </w:rPr>
        <w:t>pirits, Australian Taxation Office.</w:t>
      </w:r>
      <w:r w:rsidRPr="000950A0">
        <w:rPr>
          <w:sz w:val="18"/>
          <w:szCs w:val="18"/>
        </w:rPr>
        <w:br/>
      </w:r>
      <w:hyperlink r:id="rId87" w:history="1">
        <w:r w:rsidRPr="000950A0">
          <w:rPr>
            <w:rStyle w:val="Hyperlink"/>
            <w:sz w:val="18"/>
            <w:szCs w:val="18"/>
          </w:rPr>
          <w:t>https://www.ato.gov.au/Business/Excise-and-excise-equivalent-goods/Alcohol-excise/Spirits-and-other-excisable-beverages/Concessional-spirits/</w:t>
        </w:r>
      </w:hyperlink>
    </w:p>
    <w:p w14:paraId="61821EF9" w14:textId="77777777" w:rsidR="00C95AD5" w:rsidRPr="000950A0" w:rsidRDefault="00E9069F" w:rsidP="00D62420">
      <w:pPr>
        <w:pStyle w:val="ListParagraph"/>
        <w:numPr>
          <w:ilvl w:val="0"/>
          <w:numId w:val="4"/>
        </w:numPr>
        <w:spacing w:before="120" w:after="60"/>
        <w:contextualSpacing w:val="0"/>
        <w:jc w:val="left"/>
        <w:rPr>
          <w:sz w:val="18"/>
          <w:szCs w:val="18"/>
        </w:rPr>
      </w:pPr>
      <w:r w:rsidRPr="000950A0">
        <w:rPr>
          <w:sz w:val="18"/>
          <w:szCs w:val="18"/>
        </w:rPr>
        <w:t>Public Chemical Registration Information System Search, Australian Pesticides and Veterinary Medicines Authority.</w:t>
      </w:r>
      <w:r w:rsidRPr="000950A0">
        <w:rPr>
          <w:sz w:val="18"/>
          <w:szCs w:val="18"/>
        </w:rPr>
        <w:br/>
      </w:r>
      <w:hyperlink r:id="rId88" w:history="1">
        <w:r w:rsidRPr="000950A0">
          <w:rPr>
            <w:rStyle w:val="Hyperlink"/>
            <w:sz w:val="18"/>
            <w:szCs w:val="18"/>
          </w:rPr>
          <w:t>https://portal.apvma.gov.au/pubcris</w:t>
        </w:r>
      </w:hyperlink>
    </w:p>
    <w:p w14:paraId="61821EFA" w14:textId="77777777" w:rsidR="00284A6D" w:rsidRPr="000950A0" w:rsidRDefault="00E9069F" w:rsidP="00D62420">
      <w:pPr>
        <w:pStyle w:val="ListParagraph"/>
        <w:numPr>
          <w:ilvl w:val="0"/>
          <w:numId w:val="4"/>
        </w:numPr>
        <w:spacing w:before="120" w:after="60"/>
        <w:contextualSpacing w:val="0"/>
        <w:jc w:val="left"/>
        <w:rPr>
          <w:sz w:val="18"/>
          <w:szCs w:val="18"/>
        </w:rPr>
      </w:pPr>
      <w:r w:rsidRPr="000950A0">
        <w:rPr>
          <w:sz w:val="18"/>
          <w:szCs w:val="18"/>
        </w:rPr>
        <w:t xml:space="preserve">SafeWork Australia, </w:t>
      </w:r>
      <w:r w:rsidRPr="000950A0">
        <w:rPr>
          <w:rFonts w:cs="Arial"/>
          <w:color w:val="000000"/>
          <w:sz w:val="18"/>
          <w:szCs w:val="18"/>
          <w:shd w:val="clear" w:color="auto" w:fill="FFFFFF"/>
        </w:rPr>
        <w:t>Australian Government.</w:t>
      </w:r>
      <w:r w:rsidRPr="000950A0">
        <w:rPr>
          <w:sz w:val="18"/>
          <w:szCs w:val="18"/>
        </w:rPr>
        <w:t xml:space="preserve"> </w:t>
      </w:r>
      <w:r w:rsidRPr="000950A0">
        <w:rPr>
          <w:sz w:val="18"/>
          <w:szCs w:val="18"/>
        </w:rPr>
        <w:br/>
      </w:r>
      <w:hyperlink r:id="rId89" w:history="1">
        <w:r w:rsidRPr="000950A0">
          <w:rPr>
            <w:rStyle w:val="Hyperlink"/>
            <w:sz w:val="18"/>
            <w:szCs w:val="18"/>
          </w:rPr>
          <w:t>https://www.safeworkaustralia.gov.au/</w:t>
        </w:r>
      </w:hyperlink>
    </w:p>
    <w:p w14:paraId="61821EFB" w14:textId="77777777" w:rsidR="00284A6D" w:rsidRPr="000950A0" w:rsidRDefault="00E9069F" w:rsidP="00D62420">
      <w:pPr>
        <w:pStyle w:val="ListParagraph"/>
        <w:numPr>
          <w:ilvl w:val="1"/>
          <w:numId w:val="4"/>
        </w:numPr>
        <w:spacing w:before="120" w:after="60"/>
        <w:contextualSpacing w:val="0"/>
        <w:jc w:val="left"/>
        <w:rPr>
          <w:sz w:val="18"/>
          <w:szCs w:val="18"/>
        </w:rPr>
      </w:pPr>
      <w:r w:rsidRPr="000950A0">
        <w:rPr>
          <w:sz w:val="18"/>
          <w:szCs w:val="18"/>
        </w:rPr>
        <w:t xml:space="preserve">National Code of Practice for the Labelling of Workplace Substances [NOHSC: 2012 (1994)], SafeWork. </w:t>
      </w:r>
      <w:hyperlink r:id="rId90" w:history="1">
        <w:r w:rsidRPr="000950A0">
          <w:rPr>
            <w:rStyle w:val="Hyperlink"/>
            <w:sz w:val="18"/>
            <w:szCs w:val="18"/>
          </w:rPr>
          <w:t>https://www.safeworkaustralia.gov.au/doc/national-code-practice-labelling-workplace-substances-nohsc-2012-1994</w:t>
        </w:r>
      </w:hyperlink>
    </w:p>
    <w:p w14:paraId="61821EFC" w14:textId="77777777" w:rsidR="002621DC" w:rsidRPr="000950A0" w:rsidRDefault="00E9069F" w:rsidP="00D62420">
      <w:pPr>
        <w:pStyle w:val="ListParagraph"/>
        <w:numPr>
          <w:ilvl w:val="1"/>
          <w:numId w:val="4"/>
        </w:numPr>
        <w:spacing w:before="120" w:after="60"/>
        <w:contextualSpacing w:val="0"/>
        <w:jc w:val="left"/>
        <w:rPr>
          <w:sz w:val="18"/>
          <w:szCs w:val="18"/>
        </w:rPr>
      </w:pPr>
      <w:r w:rsidRPr="000950A0">
        <w:rPr>
          <w:sz w:val="18"/>
          <w:szCs w:val="18"/>
        </w:rPr>
        <w:t xml:space="preserve">Labelling </w:t>
      </w:r>
      <w:r w:rsidR="00684DEA" w:rsidRPr="000950A0">
        <w:rPr>
          <w:sz w:val="18"/>
          <w:szCs w:val="18"/>
        </w:rPr>
        <w:t>C</w:t>
      </w:r>
      <w:r w:rsidRPr="000950A0">
        <w:rPr>
          <w:sz w:val="18"/>
          <w:szCs w:val="18"/>
        </w:rPr>
        <w:t>hemicals, SafeWork.</w:t>
      </w:r>
      <w:r w:rsidRPr="000950A0">
        <w:rPr>
          <w:sz w:val="18"/>
          <w:szCs w:val="18"/>
        </w:rPr>
        <w:br/>
      </w:r>
      <w:hyperlink r:id="rId91" w:anchor="overview" w:history="1">
        <w:r w:rsidRPr="000950A0">
          <w:rPr>
            <w:rStyle w:val="Hyperlink"/>
            <w:sz w:val="18"/>
            <w:szCs w:val="18"/>
          </w:rPr>
          <w:t>https://www.safeworkaustralia.gov.au/labelling#overview</w:t>
        </w:r>
      </w:hyperlink>
    </w:p>
    <w:p w14:paraId="61821EFD" w14:textId="77777777" w:rsidR="002621DC" w:rsidRPr="000950A0" w:rsidRDefault="00E9069F" w:rsidP="00D62420">
      <w:pPr>
        <w:pStyle w:val="ListParagraph"/>
        <w:numPr>
          <w:ilvl w:val="1"/>
          <w:numId w:val="4"/>
        </w:numPr>
        <w:spacing w:before="120" w:after="60"/>
        <w:contextualSpacing w:val="0"/>
        <w:jc w:val="left"/>
        <w:rPr>
          <w:sz w:val="18"/>
          <w:szCs w:val="18"/>
        </w:rPr>
      </w:pPr>
      <w:r w:rsidRPr="000950A0">
        <w:rPr>
          <w:sz w:val="18"/>
          <w:szCs w:val="18"/>
        </w:rPr>
        <w:t xml:space="preserve">Safety </w:t>
      </w:r>
      <w:r w:rsidR="00684DEA" w:rsidRPr="000950A0">
        <w:rPr>
          <w:sz w:val="18"/>
          <w:szCs w:val="18"/>
        </w:rPr>
        <w:t>D</w:t>
      </w:r>
      <w:r w:rsidRPr="000950A0">
        <w:rPr>
          <w:sz w:val="18"/>
          <w:szCs w:val="18"/>
        </w:rPr>
        <w:t xml:space="preserve">ata </w:t>
      </w:r>
      <w:r w:rsidR="00684DEA" w:rsidRPr="000950A0">
        <w:rPr>
          <w:sz w:val="18"/>
          <w:szCs w:val="18"/>
        </w:rPr>
        <w:t>S</w:t>
      </w:r>
      <w:r w:rsidRPr="000950A0">
        <w:rPr>
          <w:sz w:val="18"/>
          <w:szCs w:val="18"/>
        </w:rPr>
        <w:t>heets, SafeWork.</w:t>
      </w:r>
      <w:r w:rsidRPr="000950A0">
        <w:rPr>
          <w:sz w:val="18"/>
          <w:szCs w:val="18"/>
        </w:rPr>
        <w:br/>
      </w:r>
      <w:hyperlink r:id="rId92" w:history="1">
        <w:r w:rsidRPr="000950A0">
          <w:rPr>
            <w:rStyle w:val="Hyperlink"/>
            <w:sz w:val="18"/>
            <w:szCs w:val="18"/>
          </w:rPr>
          <w:t>https://www.safeworkaustralia.gov.au/sds</w:t>
        </w:r>
      </w:hyperlink>
    </w:p>
    <w:p w14:paraId="61821EFE" w14:textId="77777777" w:rsidR="00F62F1D" w:rsidRPr="000950A0" w:rsidRDefault="00E9069F" w:rsidP="00D62420">
      <w:pPr>
        <w:pStyle w:val="ListParagraph"/>
        <w:numPr>
          <w:ilvl w:val="0"/>
          <w:numId w:val="4"/>
        </w:numPr>
        <w:spacing w:before="120" w:after="60"/>
        <w:contextualSpacing w:val="0"/>
        <w:jc w:val="left"/>
        <w:rPr>
          <w:sz w:val="18"/>
          <w:szCs w:val="18"/>
        </w:rPr>
      </w:pPr>
      <w:r w:rsidRPr="000950A0">
        <w:rPr>
          <w:sz w:val="18"/>
          <w:szCs w:val="18"/>
        </w:rPr>
        <w:t xml:space="preserve">Trade </w:t>
      </w:r>
      <w:r w:rsidR="00684DEA" w:rsidRPr="000950A0">
        <w:rPr>
          <w:sz w:val="18"/>
          <w:szCs w:val="18"/>
        </w:rPr>
        <w:t>W</w:t>
      </w:r>
      <w:r w:rsidRPr="000950A0">
        <w:rPr>
          <w:sz w:val="18"/>
          <w:szCs w:val="18"/>
        </w:rPr>
        <w:t>aste, Water Corporation.</w:t>
      </w:r>
      <w:r w:rsidRPr="000950A0">
        <w:rPr>
          <w:sz w:val="18"/>
          <w:szCs w:val="18"/>
        </w:rPr>
        <w:br/>
      </w:r>
      <w:hyperlink r:id="rId93" w:history="1">
        <w:r w:rsidRPr="000950A0">
          <w:rPr>
            <w:rStyle w:val="Hyperlink"/>
            <w:sz w:val="18"/>
            <w:szCs w:val="18"/>
          </w:rPr>
          <w:t>https://www.watercorporation.com.au/home/business/trade-waste</w:t>
        </w:r>
      </w:hyperlink>
    </w:p>
    <w:sectPr w:rsidR="00F62F1D" w:rsidRPr="000950A0" w:rsidSect="005723A4">
      <w:footerReference w:type="first" r:id="rId94"/>
      <w:pgSz w:w="12240" w:h="15840"/>
      <w:pgMar w:top="1738" w:right="1467" w:bottom="567" w:left="1418" w:header="709" w:footer="72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1F59" w14:textId="77777777" w:rsidR="004735C8" w:rsidRDefault="00E9069F">
      <w:pPr>
        <w:spacing w:before="0"/>
      </w:pPr>
      <w:r>
        <w:separator/>
      </w:r>
    </w:p>
  </w:endnote>
  <w:endnote w:type="continuationSeparator" w:id="0">
    <w:p w14:paraId="61821F5B" w14:textId="77777777" w:rsidR="004735C8" w:rsidRDefault="00E9069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T3C75o00">
    <w:altName w:val="Calibri"/>
    <w:charset w:val="00"/>
    <w:family w:val="swiss"/>
    <w:pitch w:val="default"/>
    <w:sig w:usb0="00000003" w:usb1="00000000" w:usb2="00000000" w:usb3="00000000" w:csb0="00000001" w:csb1="00000000"/>
  </w:font>
  <w:font w:name="TT2D14o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1F40" w14:textId="77777777" w:rsidR="004C26C8" w:rsidRDefault="00E9069F" w:rsidP="00E01967">
    <w:pPr>
      <w:pStyle w:val="Footer"/>
      <w:tabs>
        <w:tab w:val="right" w:pos="10766"/>
      </w:tabs>
    </w:pPr>
    <w:r w:rsidRPr="00F7015F">
      <w:rPr>
        <w:sz w:val="12"/>
        <w:szCs w:val="10"/>
      </w:rPr>
      <w:t>Curtin University is a trademark of Curtin University of Technology.</w:t>
    </w:r>
    <w:r>
      <w:rPr>
        <w:lang w:eastAsia="ja-JP"/>
      </w:rPr>
      <w:tab/>
    </w:r>
    <w:r>
      <w:rPr>
        <w:lang w:eastAsia="ja-JP"/>
      </w:rPr>
      <w:tab/>
    </w:r>
    <w:r>
      <w:rPr>
        <w:lang w:eastAsia="ja-JP"/>
      </w:rPr>
      <w:tab/>
    </w:r>
    <w:r w:rsidRPr="00496AB5">
      <w:rPr>
        <w:lang w:eastAsia="ja-JP"/>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1F43" w14:textId="77777777" w:rsidR="004C26C8" w:rsidRDefault="004C26C8" w:rsidP="0045568A">
    <w:pPr>
      <w:pStyle w:val="Footer"/>
      <w:pBdr>
        <w:bottom w:val="single" w:sz="12" w:space="1" w:color="auto"/>
      </w:pBdr>
      <w:spacing w:before="0"/>
      <w:jc w:val="right"/>
      <w:rPr>
        <w:sz w:val="22"/>
        <w:szCs w:val="22"/>
      </w:rPr>
    </w:pPr>
  </w:p>
  <w:p w14:paraId="61821F45" w14:textId="50DBB099" w:rsidR="004C26C8" w:rsidRPr="003A782C" w:rsidRDefault="003A782C" w:rsidP="003A782C">
    <w:pPr>
      <w:pStyle w:val="Footer"/>
      <w:spacing w:before="0"/>
      <w:jc w:val="left"/>
    </w:pPr>
    <w:r>
      <w:rPr>
        <w:rFonts w:cs="Arial"/>
      </w:rPr>
      <w:t xml:space="preserve">Updated </w:t>
    </w:r>
    <w:r w:rsidR="003B0C80">
      <w:rPr>
        <w:rFonts w:cs="Arial"/>
      </w:rPr>
      <w:t>June</w:t>
    </w:r>
    <w:r>
      <w:rPr>
        <w:rFonts w:cs="Arial"/>
      </w:rPr>
      <w:t xml:space="preserve"> 2022</w:t>
    </w:r>
    <w:r w:rsidR="00E9069F" w:rsidRPr="0045568A">
      <w:rPr>
        <w:rFonts w:cs="Arial"/>
      </w:rPr>
      <w:tab/>
    </w:r>
    <w:r>
      <w:rPr>
        <w:rFonts w:cs="Arial"/>
      </w:rPr>
      <w:t xml:space="preserve">    H&amp;S</w:t>
    </w:r>
    <w:r w:rsidR="00E9069F">
      <w:rPr>
        <w:rFonts w:cs="Arial"/>
      </w:rPr>
      <w:t xml:space="preserve">  </w:t>
    </w:r>
    <w:r>
      <w:rPr>
        <w:rFonts w:cs="Arial"/>
      </w:rPr>
      <w:t xml:space="preserve">                 </w:t>
    </w:r>
    <w:r w:rsidR="00E9069F">
      <w:rPr>
        <w:rFonts w:cs="Arial"/>
      </w:rPr>
      <w:t xml:space="preserve">                                         </w:t>
    </w:r>
    <w:r w:rsidR="00E9069F" w:rsidRPr="0045568A">
      <w:rPr>
        <w:rFonts w:cs="Arial"/>
      </w:rPr>
      <w:tab/>
    </w:r>
    <w:r w:rsidR="00E9069F">
      <w:rPr>
        <w:rFonts w:cs="Arial"/>
      </w:rPr>
      <w:t xml:space="preserve">  </w:t>
    </w:r>
    <w:r>
      <w:t xml:space="preserve">         </w:t>
    </w:r>
    <w:r w:rsidR="00E9069F" w:rsidRPr="0045568A">
      <w:rPr>
        <w:lang w:eastAsia="ja-JP"/>
      </w:rPr>
      <w:t xml:space="preserve">Page </w:t>
    </w:r>
    <w:r w:rsidR="00E9069F" w:rsidRPr="0045568A">
      <w:rPr>
        <w:lang w:eastAsia="ja-JP"/>
      </w:rPr>
      <w:fldChar w:fldCharType="begin"/>
    </w:r>
    <w:r w:rsidR="00E9069F" w:rsidRPr="0045568A">
      <w:rPr>
        <w:lang w:eastAsia="ja-JP"/>
      </w:rPr>
      <w:instrText xml:space="preserve"> PAGE </w:instrText>
    </w:r>
    <w:r w:rsidR="00E9069F" w:rsidRPr="0045568A">
      <w:rPr>
        <w:lang w:eastAsia="ja-JP"/>
      </w:rPr>
      <w:fldChar w:fldCharType="separate"/>
    </w:r>
    <w:r w:rsidR="0082422E">
      <w:rPr>
        <w:noProof/>
        <w:lang w:eastAsia="ja-JP"/>
      </w:rPr>
      <w:t>56</w:t>
    </w:r>
    <w:r w:rsidR="00E9069F" w:rsidRPr="0045568A">
      <w:rPr>
        <w:lang w:eastAsia="ja-JP"/>
      </w:rPr>
      <w:fldChar w:fldCharType="end"/>
    </w:r>
  </w:p>
  <w:p w14:paraId="61821F46" w14:textId="77777777" w:rsidR="004C26C8" w:rsidRPr="0045568A" w:rsidRDefault="004C26C8" w:rsidP="001966B1">
    <w:pPr>
      <w:pStyle w:val="Footer"/>
      <w:spacing w:befor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1F4A" w14:textId="77777777" w:rsidR="004C26C8" w:rsidRDefault="00E9069F" w:rsidP="00E27BFA">
    <w:pPr>
      <w:pStyle w:val="Footer"/>
      <w:jc w:val="right"/>
    </w:pPr>
    <w:r w:rsidRPr="00496AB5">
      <w:rPr>
        <w:lang w:eastAsia="ja-JP"/>
      </w:rPr>
      <w:t xml:space="preserve">Page </w:t>
    </w:r>
    <w:r w:rsidRPr="00496AB5">
      <w:rPr>
        <w:lang w:eastAsia="ja-JP"/>
      </w:rPr>
      <w:fldChar w:fldCharType="begin"/>
    </w:r>
    <w:r w:rsidRPr="00496AB5">
      <w:rPr>
        <w:lang w:eastAsia="ja-JP"/>
      </w:rPr>
      <w:instrText xml:space="preserve"> PAGE </w:instrText>
    </w:r>
    <w:r w:rsidRPr="00496AB5">
      <w:rPr>
        <w:lang w:eastAsia="ja-JP"/>
      </w:rPr>
      <w:fldChar w:fldCharType="separate"/>
    </w:r>
    <w:r>
      <w:rPr>
        <w:noProof/>
        <w:lang w:eastAsia="ja-JP"/>
      </w:rPr>
      <w:t>liv</w:t>
    </w:r>
    <w:r w:rsidRPr="00496AB5">
      <w:rPr>
        <w:lang w:eastAsia="ja-JP"/>
      </w:rPr>
      <w:fldChar w:fldCharType="end"/>
    </w:r>
    <w:r w:rsidRPr="00496AB5">
      <w:rPr>
        <w:lang w:eastAsia="ja-JP"/>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1F4B" w14:textId="77777777" w:rsidR="004C26C8" w:rsidRDefault="004C26C8" w:rsidP="001966B1">
    <w:pPr>
      <w:pStyle w:val="Footer"/>
      <w:pBdr>
        <w:bottom w:val="single" w:sz="12" w:space="1" w:color="auto"/>
      </w:pBdr>
      <w:spacing w:before="0"/>
      <w:jc w:val="right"/>
      <w:rPr>
        <w:sz w:val="22"/>
        <w:szCs w:val="22"/>
      </w:rPr>
    </w:pPr>
  </w:p>
  <w:p w14:paraId="61821F4D" w14:textId="623DF00B" w:rsidR="004C26C8" w:rsidRDefault="002A33E7" w:rsidP="003A782C">
    <w:pPr>
      <w:pStyle w:val="Footer"/>
      <w:spacing w:before="0"/>
      <w:jc w:val="left"/>
    </w:pPr>
    <w:r>
      <w:rPr>
        <w:rFonts w:cs="Arial"/>
      </w:rPr>
      <w:t>Updated April 2022</w:t>
    </w:r>
    <w:r w:rsidR="00E9069F" w:rsidRPr="0045568A">
      <w:rPr>
        <w:rFonts w:cs="Arial"/>
      </w:rPr>
      <w:tab/>
    </w:r>
    <w:r w:rsidR="003A782C">
      <w:rPr>
        <w:rFonts w:cs="Arial"/>
      </w:rPr>
      <w:t>H&amp;S</w:t>
    </w:r>
    <w:r w:rsidR="00E9069F">
      <w:rPr>
        <w:rFonts w:cs="Arial"/>
      </w:rPr>
      <w:t xml:space="preserve">                                                </w:t>
    </w:r>
    <w:r w:rsidR="00E9069F">
      <w:ptab w:relativeTo="margin" w:alignment="right" w:leader="none"/>
    </w:r>
    <w:r w:rsidR="00E9069F" w:rsidRPr="0045568A">
      <w:rPr>
        <w:lang w:eastAsia="ja-JP"/>
      </w:rPr>
      <w:t xml:space="preserve">Page </w:t>
    </w:r>
    <w:r w:rsidR="00E9069F" w:rsidRPr="0045568A">
      <w:rPr>
        <w:lang w:eastAsia="ja-JP"/>
      </w:rPr>
      <w:fldChar w:fldCharType="begin"/>
    </w:r>
    <w:r w:rsidR="00E9069F" w:rsidRPr="0045568A">
      <w:rPr>
        <w:lang w:eastAsia="ja-JP"/>
      </w:rPr>
      <w:instrText xml:space="preserve"> PAGE </w:instrText>
    </w:r>
    <w:r w:rsidR="00E9069F" w:rsidRPr="0045568A">
      <w:rPr>
        <w:lang w:eastAsia="ja-JP"/>
      </w:rPr>
      <w:fldChar w:fldCharType="separate"/>
    </w:r>
    <w:r w:rsidR="0082422E">
      <w:rPr>
        <w:noProof/>
        <w:lang w:eastAsia="ja-JP"/>
      </w:rPr>
      <w:t>3</w:t>
    </w:r>
    <w:r w:rsidR="00E9069F" w:rsidRPr="0045568A">
      <w:rPr>
        <w:lang w:eastAsia="ja-JP"/>
      </w:rPr>
      <w:fldChar w:fldCharType="end"/>
    </w:r>
    <w:r w:rsidR="00E9069F" w:rsidRPr="00496AB5">
      <w:rPr>
        <w:lang w:eastAsia="ja-JP"/>
      </w:rPr>
      <w:t xml:space="preserve">  </w:t>
    </w:r>
  </w:p>
  <w:p w14:paraId="61821F4E" w14:textId="77777777" w:rsidR="004C26C8" w:rsidRPr="001966B1" w:rsidRDefault="004C26C8" w:rsidP="001966B1">
    <w:pPr>
      <w:pStyle w:val="Footer"/>
      <w:spacing w:befor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1F52" w14:textId="77777777" w:rsidR="004C26C8" w:rsidRDefault="004C26C8" w:rsidP="001966B1">
    <w:pPr>
      <w:pStyle w:val="Footer"/>
      <w:pBdr>
        <w:bottom w:val="single" w:sz="12" w:space="1" w:color="auto"/>
      </w:pBdr>
      <w:spacing w:before="0"/>
      <w:jc w:val="right"/>
      <w:rPr>
        <w:sz w:val="22"/>
        <w:szCs w:val="22"/>
      </w:rPr>
    </w:pPr>
  </w:p>
  <w:p w14:paraId="61821F54" w14:textId="6674B0CE" w:rsidR="004C26C8" w:rsidRDefault="00987BE4" w:rsidP="0088265F">
    <w:pPr>
      <w:pStyle w:val="Footer"/>
      <w:spacing w:before="0"/>
      <w:jc w:val="left"/>
    </w:pPr>
    <w:r>
      <w:rPr>
        <w:rFonts w:cs="Arial"/>
      </w:rPr>
      <w:t>Updated April 2022</w:t>
    </w:r>
    <w:r w:rsidR="00E9069F" w:rsidRPr="0045568A">
      <w:rPr>
        <w:rFonts w:cs="Arial"/>
      </w:rPr>
      <w:tab/>
    </w:r>
    <w:r w:rsidR="0088265F">
      <w:rPr>
        <w:rFonts w:cs="Arial"/>
      </w:rPr>
      <w:t xml:space="preserve">                                                   </w:t>
    </w:r>
    <w:r w:rsidR="00E9069F">
      <w:rPr>
        <w:rFonts w:cs="Arial"/>
      </w:rPr>
      <w:t xml:space="preserve">H&amp;S </w:t>
    </w:r>
    <w:r w:rsidR="0088265F">
      <w:rPr>
        <w:rFonts w:cs="Arial"/>
      </w:rPr>
      <w:t xml:space="preserve">                                                                 </w:t>
    </w:r>
    <w:r w:rsidR="00E9069F" w:rsidRPr="0045568A">
      <w:rPr>
        <w:lang w:eastAsia="ja-JP"/>
      </w:rPr>
      <w:t xml:space="preserve">Page </w:t>
    </w:r>
    <w:r w:rsidR="00E9069F" w:rsidRPr="0045568A">
      <w:rPr>
        <w:lang w:eastAsia="ja-JP"/>
      </w:rPr>
      <w:fldChar w:fldCharType="begin"/>
    </w:r>
    <w:r w:rsidR="00E9069F" w:rsidRPr="0045568A">
      <w:rPr>
        <w:lang w:eastAsia="ja-JP"/>
      </w:rPr>
      <w:instrText xml:space="preserve"> PAGE </w:instrText>
    </w:r>
    <w:r w:rsidR="00E9069F" w:rsidRPr="0045568A">
      <w:rPr>
        <w:lang w:eastAsia="ja-JP"/>
      </w:rPr>
      <w:fldChar w:fldCharType="separate"/>
    </w:r>
    <w:r w:rsidR="0082422E">
      <w:rPr>
        <w:noProof/>
        <w:lang w:eastAsia="ja-JP"/>
      </w:rPr>
      <w:t>7</w:t>
    </w:r>
    <w:r w:rsidR="00E9069F" w:rsidRPr="0045568A">
      <w:rPr>
        <w:lang w:eastAsia="ja-JP"/>
      </w:rPr>
      <w:fldChar w:fldCharType="end"/>
    </w:r>
    <w:r w:rsidR="00E9069F" w:rsidRPr="00496AB5">
      <w:rPr>
        <w:lang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1F55" w14:textId="77777777" w:rsidR="004735C8" w:rsidRDefault="00E9069F">
      <w:pPr>
        <w:spacing w:before="0"/>
      </w:pPr>
      <w:r>
        <w:separator/>
      </w:r>
    </w:p>
  </w:footnote>
  <w:footnote w:type="continuationSeparator" w:id="0">
    <w:p w14:paraId="61821F57" w14:textId="77777777" w:rsidR="004735C8" w:rsidRDefault="00E9069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1F3F" w14:textId="77777777" w:rsidR="004C26C8" w:rsidRDefault="00E9069F" w:rsidP="00055827">
    <w:pPr>
      <w:pStyle w:val="Header"/>
      <w:spacing w:before="0"/>
    </w:pPr>
    <w:r>
      <w:rPr>
        <w:noProof/>
      </w:rPr>
      <w:drawing>
        <wp:anchor distT="0" distB="0" distL="114300" distR="114300" simplePos="0" relativeHeight="251659264" behindDoc="1" locked="0" layoutInCell="1" allowOverlap="1" wp14:anchorId="61821F55" wp14:editId="61821F56">
          <wp:simplePos x="0" y="0"/>
          <wp:positionH relativeFrom="page">
            <wp:posOffset>4051935</wp:posOffset>
          </wp:positionH>
          <wp:positionV relativeFrom="page">
            <wp:posOffset>457200</wp:posOffset>
          </wp:positionV>
          <wp:extent cx="3575050" cy="588010"/>
          <wp:effectExtent l="0" t="0" r="6350" b="2540"/>
          <wp:wrapNone/>
          <wp:docPr id="13" name="Picture 13" descr="Curtin master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644197" name="Picture 9" descr="Curtin master PM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75050" cy="588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1F41" w14:textId="77777777" w:rsidR="004C26C8" w:rsidRDefault="00E9069F" w:rsidP="00E27BFA">
    <w:pPr>
      <w:pStyle w:val="Header"/>
    </w:pPr>
    <w:r>
      <w:rPr>
        <w:noProof/>
      </w:rPr>
      <w:drawing>
        <wp:anchor distT="0" distB="0" distL="114300" distR="114300" simplePos="0" relativeHeight="251660288" behindDoc="1" locked="0" layoutInCell="1" allowOverlap="1" wp14:anchorId="61821F57" wp14:editId="61821F58">
          <wp:simplePos x="0" y="0"/>
          <wp:positionH relativeFrom="page">
            <wp:posOffset>4023360</wp:posOffset>
          </wp:positionH>
          <wp:positionV relativeFrom="page">
            <wp:posOffset>457200</wp:posOffset>
          </wp:positionV>
          <wp:extent cx="3575050" cy="588010"/>
          <wp:effectExtent l="0" t="0" r="6350" b="2540"/>
          <wp:wrapNone/>
          <wp:docPr id="14" name="Picture 14" descr="Curtin master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714989" name="Picture 9" descr="Curtin master PM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75050" cy="588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1F42" w14:textId="6311CBCF" w:rsidR="004C26C8" w:rsidRDefault="00E9069F" w:rsidP="00055827">
    <w:pPr>
      <w:pStyle w:val="Header"/>
      <w:spacing w:before="0"/>
    </w:pPr>
    <w:r>
      <w:rPr>
        <w:noProof/>
      </w:rPr>
      <w:drawing>
        <wp:anchor distT="0" distB="0" distL="114300" distR="114300" simplePos="0" relativeHeight="251661312" behindDoc="1" locked="0" layoutInCell="1" allowOverlap="1" wp14:anchorId="61821F59" wp14:editId="61821F5A">
          <wp:simplePos x="0" y="0"/>
          <wp:positionH relativeFrom="page">
            <wp:posOffset>4051935</wp:posOffset>
          </wp:positionH>
          <wp:positionV relativeFrom="page">
            <wp:posOffset>457200</wp:posOffset>
          </wp:positionV>
          <wp:extent cx="3575050" cy="588010"/>
          <wp:effectExtent l="0" t="0" r="6350" b="2540"/>
          <wp:wrapNone/>
          <wp:docPr id="2" name="Picture 2" descr="Curtin master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247742" name="Picture 9" descr="Curtin master PM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75050" cy="588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1F47" w14:textId="050A83CA" w:rsidR="004C26C8" w:rsidRPr="00496AB5" w:rsidRDefault="00E9069F" w:rsidP="00E27BFA">
    <w:pPr>
      <w:spacing w:before="0"/>
      <w:rPr>
        <w:lang w:eastAsia="ja-JP"/>
      </w:rPr>
    </w:pPr>
    <w:r w:rsidRPr="00496AB5">
      <w:rPr>
        <w:lang w:eastAsia="ja-JP"/>
      </w:rPr>
      <w:t xml:space="preserve">Report Number </w:t>
    </w:r>
    <w:sdt>
      <w:sdtPr>
        <w:rPr>
          <w:lang w:eastAsia="ja-JP"/>
        </w:rPr>
        <w:alias w:val="Keywords"/>
        <w:id w:val="-1259591176"/>
        <w:showingPlcHdr/>
        <w:dataBinding w:prefixMappings="xmlns:ns0='http://purl.org/dc/elements/1.1/' xmlns:ns1='http://schemas.openxmlformats.org/package/2006/metadata/core-properties' " w:xpath="/ns1:coreProperties[1]/ns1:keywords[1]" w:storeItemID="{6C3C8BC8-F283-45AE-878A-BAB7291924A1}"/>
        <w:text/>
      </w:sdtPr>
      <w:sdtEndPr/>
      <w:sdtContent>
        <w:r>
          <w:rPr>
            <w:lang w:eastAsia="ja-JP"/>
          </w:rPr>
          <w:t xml:space="preserve">     </w:t>
        </w:r>
      </w:sdtContent>
    </w:sdt>
  </w:p>
  <w:p w14:paraId="61821F48" w14:textId="7C5EA26F" w:rsidR="004C26C8" w:rsidRPr="00496AB5" w:rsidRDefault="00E9069F" w:rsidP="00E27BFA">
    <w:pPr>
      <w:spacing w:before="0"/>
      <w:rPr>
        <w:lang w:eastAsia="ja-JP"/>
      </w:rPr>
    </w:pPr>
    <w:r w:rsidRPr="00496AB5">
      <w:rPr>
        <w:lang w:eastAsia="ja-JP"/>
      </w:rPr>
      <w:t xml:space="preserve">Revision </w:t>
    </w:r>
    <w:sdt>
      <w:sdtPr>
        <w:rPr>
          <w:lang w:eastAsia="ja-JP"/>
        </w:rPr>
        <w:alias w:val="Status"/>
        <w:id w:val="1891530203"/>
        <w:showingPlcHdr/>
        <w:dataBinding w:prefixMappings="xmlns:ns0='http://purl.org/dc/elements/1.1/' xmlns:ns1='http://schemas.openxmlformats.org/package/2006/metadata/core-properties' " w:xpath="/ns1:coreProperties[1]/ns1:contentStatus[1]" w:storeItemID="{6C3C8BC8-F283-45AE-878A-BAB7291924A1}"/>
        <w:text/>
      </w:sdtPr>
      <w:sdtEndPr/>
      <w:sdtContent>
        <w:r>
          <w:rPr>
            <w:lang w:eastAsia="ja-JP"/>
          </w:rPr>
          <w:t xml:space="preserve">     </w:t>
        </w:r>
      </w:sdtContent>
    </w:sdt>
  </w:p>
  <w:p w14:paraId="61821F49" w14:textId="09A2987A" w:rsidR="004C26C8" w:rsidRDefault="00E9069F" w:rsidP="00E27BFA">
    <w:pPr>
      <w:pStyle w:val="Header"/>
      <w:spacing w:before="0"/>
    </w:pPr>
    <w:r w:rsidRPr="00496AB5">
      <w:rPr>
        <w:lang w:eastAsia="ja-JP"/>
      </w:rPr>
      <w:t xml:space="preserve">Printed/Viewed </w:t>
    </w:r>
    <w:r w:rsidRPr="00496AB5">
      <w:rPr>
        <w:lang w:eastAsia="ja-JP"/>
      </w:rPr>
      <w:fldChar w:fldCharType="begin"/>
    </w:r>
    <w:r w:rsidRPr="00496AB5">
      <w:rPr>
        <w:lang w:eastAsia="ja-JP"/>
      </w:rPr>
      <w:instrText xml:space="preserve"> DATE \@ "d/M/yy" </w:instrText>
    </w:r>
    <w:r w:rsidRPr="00496AB5">
      <w:rPr>
        <w:lang w:eastAsia="ja-JP"/>
      </w:rPr>
      <w:fldChar w:fldCharType="separate"/>
    </w:r>
    <w:r w:rsidR="000B5016">
      <w:rPr>
        <w:noProof/>
        <w:lang w:eastAsia="ja-JP"/>
      </w:rPr>
      <w:t>23/6/22</w:t>
    </w:r>
    <w:r w:rsidRPr="00496AB5">
      <w:rPr>
        <w:lang w:eastAsia="ja-JP"/>
      </w:rPr>
      <w:fldChar w:fldCharType="end"/>
    </w:r>
    <w:r w:rsidRPr="00496AB5">
      <w:rPr>
        <w:lang w:eastAsia="ja-JP"/>
      </w:rPr>
      <w:t xml:space="preserve"> </w:t>
    </w:r>
    <w:r w:rsidRPr="00496AB5">
      <w:rPr>
        <w:lang w:eastAsia="ja-JP"/>
      </w:rPr>
      <w:fldChar w:fldCharType="begin"/>
    </w:r>
    <w:r w:rsidRPr="00496AB5">
      <w:rPr>
        <w:lang w:eastAsia="ja-JP"/>
      </w:rPr>
      <w:instrText xml:space="preserve"> TIME \@ "h:mm AM/PM" </w:instrText>
    </w:r>
    <w:r w:rsidRPr="00496AB5">
      <w:rPr>
        <w:lang w:eastAsia="ja-JP"/>
      </w:rPr>
      <w:fldChar w:fldCharType="separate"/>
    </w:r>
    <w:r w:rsidR="000B5016">
      <w:rPr>
        <w:noProof/>
        <w:lang w:eastAsia="ja-JP"/>
      </w:rPr>
      <w:t>12:43 PM</w:t>
    </w:r>
    <w:r w:rsidRPr="00496AB5">
      <w:rPr>
        <w:lang w:eastAsia="ja-JP"/>
      </w:rPr>
      <w:fldChar w:fldCharType="end"/>
    </w:r>
    <w:r w:rsidRPr="00496AB5">
      <w:rPr>
        <w:lang w:eastAsia="ja-JP"/>
      </w:rPr>
      <w:t xml:space="preserve"> </w:t>
    </w:r>
    <w:r>
      <w:rPr>
        <w:noProof/>
      </w:rPr>
      <w:drawing>
        <wp:anchor distT="0" distB="0" distL="114300" distR="114300" simplePos="0" relativeHeight="251658240" behindDoc="1" locked="0" layoutInCell="1" allowOverlap="1" wp14:anchorId="61821F5B" wp14:editId="61821F5C">
          <wp:simplePos x="0" y="0"/>
          <wp:positionH relativeFrom="page">
            <wp:posOffset>4023360</wp:posOffset>
          </wp:positionH>
          <wp:positionV relativeFrom="page">
            <wp:posOffset>457200</wp:posOffset>
          </wp:positionV>
          <wp:extent cx="3575050" cy="588010"/>
          <wp:effectExtent l="0" t="0" r="6350" b="2540"/>
          <wp:wrapNone/>
          <wp:docPr id="7" name="Picture 7" descr="Curtin master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96406" name="Picture 9" descr="Curtin master PM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75050" cy="588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1F4F" w14:textId="3FB5C75E" w:rsidR="004C26C8" w:rsidRPr="00496AB5" w:rsidRDefault="00E9069F" w:rsidP="0079602F">
    <w:pPr>
      <w:spacing w:before="0"/>
      <w:rPr>
        <w:lang w:eastAsia="ja-JP"/>
      </w:rPr>
    </w:pPr>
    <w:r>
      <w:rPr>
        <w:noProof/>
      </w:rPr>
      <w:drawing>
        <wp:anchor distT="0" distB="0" distL="114300" distR="114300" simplePos="0" relativeHeight="251662336" behindDoc="1" locked="0" layoutInCell="1" allowOverlap="1" wp14:anchorId="61821F5D" wp14:editId="61821F5E">
          <wp:simplePos x="0" y="0"/>
          <wp:positionH relativeFrom="page">
            <wp:posOffset>3971290</wp:posOffset>
          </wp:positionH>
          <wp:positionV relativeFrom="page">
            <wp:posOffset>457200</wp:posOffset>
          </wp:positionV>
          <wp:extent cx="3575050" cy="588010"/>
          <wp:effectExtent l="0" t="0" r="6350" b="2540"/>
          <wp:wrapNone/>
          <wp:docPr id="26" name="Picture 26" descr="Curtin master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723448" name="Picture 9" descr="Curtin master PM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7505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AB5">
      <w:rPr>
        <w:lang w:eastAsia="ja-JP"/>
      </w:rPr>
      <w:t xml:space="preserve">Report Number </w:t>
    </w:r>
    <w:sdt>
      <w:sdtPr>
        <w:rPr>
          <w:lang w:eastAsia="ja-JP"/>
        </w:rPr>
        <w:alias w:val="Keywords"/>
        <w:id w:val="560298936"/>
        <w:showingPlcHdr/>
        <w:dataBinding w:prefixMappings="xmlns:ns0='http://purl.org/dc/elements/1.1/' xmlns:ns1='http://schemas.openxmlformats.org/package/2006/metadata/core-properties' " w:xpath="/ns1:coreProperties[1]/ns1:keywords[1]" w:storeItemID="{6C3C8BC8-F283-45AE-878A-BAB7291924A1}"/>
        <w:text/>
      </w:sdtPr>
      <w:sdtEndPr/>
      <w:sdtContent>
        <w:r>
          <w:rPr>
            <w:lang w:eastAsia="ja-JP"/>
          </w:rPr>
          <w:t xml:space="preserve">     </w:t>
        </w:r>
      </w:sdtContent>
    </w:sdt>
  </w:p>
  <w:p w14:paraId="61821F50" w14:textId="3AC73096" w:rsidR="004C26C8" w:rsidRPr="00496AB5" w:rsidRDefault="00E9069F" w:rsidP="00E27BFA">
    <w:pPr>
      <w:spacing w:before="0"/>
      <w:rPr>
        <w:lang w:eastAsia="ja-JP"/>
      </w:rPr>
    </w:pPr>
    <w:r w:rsidRPr="00496AB5">
      <w:rPr>
        <w:lang w:eastAsia="ja-JP"/>
      </w:rPr>
      <w:t xml:space="preserve">Revision </w:t>
    </w:r>
    <w:sdt>
      <w:sdtPr>
        <w:rPr>
          <w:lang w:eastAsia="ja-JP"/>
        </w:rPr>
        <w:alias w:val="Status"/>
        <w:id w:val="-1748265977"/>
        <w:showingPlcHdr/>
        <w:dataBinding w:prefixMappings="xmlns:ns0='http://purl.org/dc/elements/1.1/' xmlns:ns1='http://schemas.openxmlformats.org/package/2006/metadata/core-properties' " w:xpath="/ns1:coreProperties[1]/ns1:contentStatus[1]" w:storeItemID="{6C3C8BC8-F283-45AE-878A-BAB7291924A1}"/>
        <w:text/>
      </w:sdtPr>
      <w:sdtEndPr/>
      <w:sdtContent>
        <w:r>
          <w:rPr>
            <w:lang w:eastAsia="ja-JP"/>
          </w:rPr>
          <w:t xml:space="preserve">     </w:t>
        </w:r>
      </w:sdtContent>
    </w:sdt>
  </w:p>
  <w:p w14:paraId="61821F51" w14:textId="60798CCE" w:rsidR="004C26C8" w:rsidRDefault="00E9069F" w:rsidP="0079602F">
    <w:pPr>
      <w:pStyle w:val="Header"/>
      <w:tabs>
        <w:tab w:val="clear" w:pos="4320"/>
        <w:tab w:val="clear" w:pos="8640"/>
        <w:tab w:val="right" w:pos="9355"/>
      </w:tabs>
      <w:spacing w:before="0"/>
    </w:pPr>
    <w:r w:rsidRPr="00496AB5">
      <w:rPr>
        <w:lang w:eastAsia="ja-JP"/>
      </w:rPr>
      <w:t xml:space="preserve">Printed/Viewed </w:t>
    </w:r>
    <w:r w:rsidRPr="00496AB5">
      <w:rPr>
        <w:lang w:eastAsia="ja-JP"/>
      </w:rPr>
      <w:fldChar w:fldCharType="begin"/>
    </w:r>
    <w:r w:rsidRPr="00496AB5">
      <w:rPr>
        <w:lang w:eastAsia="ja-JP"/>
      </w:rPr>
      <w:instrText xml:space="preserve"> DATE \@ "d/M/yy" </w:instrText>
    </w:r>
    <w:r w:rsidRPr="00496AB5">
      <w:rPr>
        <w:lang w:eastAsia="ja-JP"/>
      </w:rPr>
      <w:fldChar w:fldCharType="separate"/>
    </w:r>
    <w:r w:rsidR="000B5016">
      <w:rPr>
        <w:noProof/>
        <w:lang w:eastAsia="ja-JP"/>
      </w:rPr>
      <w:t>23/6/22</w:t>
    </w:r>
    <w:r w:rsidRPr="00496AB5">
      <w:rPr>
        <w:lang w:eastAsia="ja-JP"/>
      </w:rPr>
      <w:fldChar w:fldCharType="end"/>
    </w:r>
    <w:r w:rsidRPr="00496AB5">
      <w:rPr>
        <w:lang w:eastAsia="ja-JP"/>
      </w:rPr>
      <w:t xml:space="preserve"> </w:t>
    </w:r>
    <w:r w:rsidRPr="00496AB5">
      <w:rPr>
        <w:lang w:eastAsia="ja-JP"/>
      </w:rPr>
      <w:fldChar w:fldCharType="begin"/>
    </w:r>
    <w:r w:rsidRPr="00496AB5">
      <w:rPr>
        <w:lang w:eastAsia="ja-JP"/>
      </w:rPr>
      <w:instrText xml:space="preserve"> TIME \@ "h:mm AM/PM" </w:instrText>
    </w:r>
    <w:r w:rsidRPr="00496AB5">
      <w:rPr>
        <w:lang w:eastAsia="ja-JP"/>
      </w:rPr>
      <w:fldChar w:fldCharType="separate"/>
    </w:r>
    <w:r w:rsidR="000B5016">
      <w:rPr>
        <w:noProof/>
        <w:lang w:eastAsia="ja-JP"/>
      </w:rPr>
      <w:t>12:43 PM</w:t>
    </w:r>
    <w:r w:rsidRPr="00496AB5">
      <w:rPr>
        <w:lang w:eastAsia="ja-JP"/>
      </w:rPr>
      <w:fldChar w:fldCharType="end"/>
    </w:r>
    <w:r w:rsidRPr="00496AB5">
      <w:rPr>
        <w:lang w:eastAsia="ja-JP"/>
      </w:rPr>
      <w:t xml:space="preserve"> </w:t>
    </w:r>
    <w:r>
      <w:rPr>
        <w:lang w:eastAsia="ja-JP"/>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1F68CC8"/>
    <w:lvl w:ilvl="0">
      <w:start w:val="1"/>
      <w:numFmt w:val="decimal"/>
      <w:pStyle w:val="ListNumber"/>
      <w:lvlText w:val="%1."/>
      <w:lvlJc w:val="left"/>
      <w:pPr>
        <w:tabs>
          <w:tab w:val="num" w:pos="360"/>
        </w:tabs>
        <w:ind w:left="360" w:hanging="360"/>
      </w:pPr>
    </w:lvl>
  </w:abstractNum>
  <w:abstractNum w:abstractNumId="1" w15:restartNumberingAfterBreak="0">
    <w:nsid w:val="0D3306FD"/>
    <w:multiLevelType w:val="hybridMultilevel"/>
    <w:tmpl w:val="259AD10E"/>
    <w:lvl w:ilvl="0" w:tplc="905ED87E">
      <w:start w:val="1"/>
      <w:numFmt w:val="bullet"/>
      <w:lvlText w:val=""/>
      <w:lvlJc w:val="left"/>
      <w:pPr>
        <w:ind w:left="360" w:hanging="360"/>
      </w:pPr>
      <w:rPr>
        <w:rFonts w:ascii="Symbol" w:hAnsi="Symbol" w:hint="default"/>
      </w:rPr>
    </w:lvl>
    <w:lvl w:ilvl="1" w:tplc="01AC6552">
      <w:start w:val="1"/>
      <w:numFmt w:val="bullet"/>
      <w:lvlText w:val="o"/>
      <w:lvlJc w:val="left"/>
      <w:pPr>
        <w:ind w:left="1080" w:hanging="360"/>
      </w:pPr>
      <w:rPr>
        <w:rFonts w:ascii="Courier New" w:hAnsi="Courier New" w:cs="Courier New" w:hint="default"/>
      </w:rPr>
    </w:lvl>
    <w:lvl w:ilvl="2" w:tplc="9A74C716">
      <w:start w:val="1"/>
      <w:numFmt w:val="bullet"/>
      <w:lvlText w:val=""/>
      <w:lvlJc w:val="left"/>
      <w:pPr>
        <w:ind w:left="1800" w:hanging="360"/>
      </w:pPr>
      <w:rPr>
        <w:rFonts w:ascii="Wingdings" w:hAnsi="Wingdings" w:hint="default"/>
      </w:rPr>
    </w:lvl>
    <w:lvl w:ilvl="3" w:tplc="2E2A5922">
      <w:start w:val="1"/>
      <w:numFmt w:val="bullet"/>
      <w:lvlText w:val=""/>
      <w:lvlJc w:val="left"/>
      <w:pPr>
        <w:ind w:left="2520" w:hanging="360"/>
      </w:pPr>
      <w:rPr>
        <w:rFonts w:ascii="Symbol" w:hAnsi="Symbol" w:hint="default"/>
      </w:rPr>
    </w:lvl>
    <w:lvl w:ilvl="4" w:tplc="024A53D4">
      <w:start w:val="1"/>
      <w:numFmt w:val="bullet"/>
      <w:lvlText w:val="o"/>
      <w:lvlJc w:val="left"/>
      <w:pPr>
        <w:ind w:left="3240" w:hanging="360"/>
      </w:pPr>
      <w:rPr>
        <w:rFonts w:ascii="Courier New" w:hAnsi="Courier New" w:cs="Courier New" w:hint="default"/>
      </w:rPr>
    </w:lvl>
    <w:lvl w:ilvl="5" w:tplc="542439D8">
      <w:start w:val="1"/>
      <w:numFmt w:val="bullet"/>
      <w:lvlText w:val=""/>
      <w:lvlJc w:val="left"/>
      <w:pPr>
        <w:ind w:left="3960" w:hanging="360"/>
      </w:pPr>
      <w:rPr>
        <w:rFonts w:ascii="Wingdings" w:hAnsi="Wingdings" w:hint="default"/>
      </w:rPr>
    </w:lvl>
    <w:lvl w:ilvl="6" w:tplc="8D7423CE">
      <w:start w:val="1"/>
      <w:numFmt w:val="bullet"/>
      <w:lvlText w:val=""/>
      <w:lvlJc w:val="left"/>
      <w:pPr>
        <w:ind w:left="4680" w:hanging="360"/>
      </w:pPr>
      <w:rPr>
        <w:rFonts w:ascii="Symbol" w:hAnsi="Symbol" w:hint="default"/>
      </w:rPr>
    </w:lvl>
    <w:lvl w:ilvl="7" w:tplc="06FE7690">
      <w:start w:val="1"/>
      <w:numFmt w:val="bullet"/>
      <w:lvlText w:val="o"/>
      <w:lvlJc w:val="left"/>
      <w:pPr>
        <w:ind w:left="5400" w:hanging="360"/>
      </w:pPr>
      <w:rPr>
        <w:rFonts w:ascii="Courier New" w:hAnsi="Courier New" w:cs="Courier New" w:hint="default"/>
      </w:rPr>
    </w:lvl>
    <w:lvl w:ilvl="8" w:tplc="D982E4AA">
      <w:start w:val="1"/>
      <w:numFmt w:val="bullet"/>
      <w:lvlText w:val=""/>
      <w:lvlJc w:val="left"/>
      <w:pPr>
        <w:ind w:left="6120" w:hanging="360"/>
      </w:pPr>
      <w:rPr>
        <w:rFonts w:ascii="Wingdings" w:hAnsi="Wingdings" w:hint="default"/>
      </w:rPr>
    </w:lvl>
  </w:abstractNum>
  <w:abstractNum w:abstractNumId="2" w15:restartNumberingAfterBreak="0">
    <w:nsid w:val="2A8972E0"/>
    <w:multiLevelType w:val="hybridMultilevel"/>
    <w:tmpl w:val="CA082F38"/>
    <w:lvl w:ilvl="0" w:tplc="E4F070C0">
      <w:start w:val="1"/>
      <w:numFmt w:val="bullet"/>
      <w:pStyle w:val="Bullet1"/>
      <w:lvlText w:val="•"/>
      <w:lvlJc w:val="left"/>
      <w:pPr>
        <w:ind w:left="644" w:hanging="360"/>
      </w:pPr>
      <w:rPr>
        <w:rFonts w:ascii="Arial" w:eastAsia="Times New Roman" w:hAnsi="Arial" w:cs="Arial" w:hint="default"/>
      </w:rPr>
    </w:lvl>
    <w:lvl w:ilvl="1" w:tplc="EC5AC352">
      <w:start w:val="1"/>
      <w:numFmt w:val="bullet"/>
      <w:lvlText w:val="o"/>
      <w:lvlJc w:val="left"/>
      <w:pPr>
        <w:ind w:left="1364" w:hanging="360"/>
      </w:pPr>
      <w:rPr>
        <w:rFonts w:ascii="Courier New" w:hAnsi="Courier New" w:cs="Courier New" w:hint="default"/>
      </w:rPr>
    </w:lvl>
    <w:lvl w:ilvl="2" w:tplc="AEA8E38E" w:tentative="1">
      <w:start w:val="1"/>
      <w:numFmt w:val="bullet"/>
      <w:lvlText w:val=""/>
      <w:lvlJc w:val="left"/>
      <w:pPr>
        <w:ind w:left="2084" w:hanging="360"/>
      </w:pPr>
      <w:rPr>
        <w:rFonts w:ascii="Wingdings" w:hAnsi="Wingdings" w:hint="default"/>
      </w:rPr>
    </w:lvl>
    <w:lvl w:ilvl="3" w:tplc="49A227F8" w:tentative="1">
      <w:start w:val="1"/>
      <w:numFmt w:val="bullet"/>
      <w:lvlText w:val=""/>
      <w:lvlJc w:val="left"/>
      <w:pPr>
        <w:ind w:left="2804" w:hanging="360"/>
      </w:pPr>
      <w:rPr>
        <w:rFonts w:ascii="Symbol" w:hAnsi="Symbol" w:hint="default"/>
      </w:rPr>
    </w:lvl>
    <w:lvl w:ilvl="4" w:tplc="C5909D20" w:tentative="1">
      <w:start w:val="1"/>
      <w:numFmt w:val="bullet"/>
      <w:lvlText w:val="o"/>
      <w:lvlJc w:val="left"/>
      <w:pPr>
        <w:ind w:left="3524" w:hanging="360"/>
      </w:pPr>
      <w:rPr>
        <w:rFonts w:ascii="Courier New" w:hAnsi="Courier New" w:cs="Courier New" w:hint="default"/>
      </w:rPr>
    </w:lvl>
    <w:lvl w:ilvl="5" w:tplc="5F00223C" w:tentative="1">
      <w:start w:val="1"/>
      <w:numFmt w:val="bullet"/>
      <w:lvlText w:val=""/>
      <w:lvlJc w:val="left"/>
      <w:pPr>
        <w:ind w:left="4244" w:hanging="360"/>
      </w:pPr>
      <w:rPr>
        <w:rFonts w:ascii="Wingdings" w:hAnsi="Wingdings" w:hint="default"/>
      </w:rPr>
    </w:lvl>
    <w:lvl w:ilvl="6" w:tplc="B8F41F44" w:tentative="1">
      <w:start w:val="1"/>
      <w:numFmt w:val="bullet"/>
      <w:lvlText w:val=""/>
      <w:lvlJc w:val="left"/>
      <w:pPr>
        <w:ind w:left="4964" w:hanging="360"/>
      </w:pPr>
      <w:rPr>
        <w:rFonts w:ascii="Symbol" w:hAnsi="Symbol" w:hint="default"/>
      </w:rPr>
    </w:lvl>
    <w:lvl w:ilvl="7" w:tplc="B4444010" w:tentative="1">
      <w:start w:val="1"/>
      <w:numFmt w:val="bullet"/>
      <w:lvlText w:val="o"/>
      <w:lvlJc w:val="left"/>
      <w:pPr>
        <w:ind w:left="5684" w:hanging="360"/>
      </w:pPr>
      <w:rPr>
        <w:rFonts w:ascii="Courier New" w:hAnsi="Courier New" w:cs="Courier New" w:hint="default"/>
      </w:rPr>
    </w:lvl>
    <w:lvl w:ilvl="8" w:tplc="280A7268" w:tentative="1">
      <w:start w:val="1"/>
      <w:numFmt w:val="bullet"/>
      <w:lvlText w:val=""/>
      <w:lvlJc w:val="left"/>
      <w:pPr>
        <w:ind w:left="6404" w:hanging="360"/>
      </w:pPr>
      <w:rPr>
        <w:rFonts w:ascii="Wingdings" w:hAnsi="Wingdings" w:hint="default"/>
      </w:rPr>
    </w:lvl>
  </w:abstractNum>
  <w:abstractNum w:abstractNumId="3" w15:restartNumberingAfterBreak="0">
    <w:nsid w:val="31F96D38"/>
    <w:multiLevelType w:val="hybridMultilevel"/>
    <w:tmpl w:val="90B01F8E"/>
    <w:lvl w:ilvl="0" w:tplc="A74457F4">
      <w:start w:val="1"/>
      <w:numFmt w:val="bullet"/>
      <w:lvlText w:val=""/>
      <w:lvlJc w:val="left"/>
      <w:pPr>
        <w:tabs>
          <w:tab w:val="num" w:pos="360"/>
        </w:tabs>
        <w:ind w:left="360" w:hanging="360"/>
      </w:pPr>
      <w:rPr>
        <w:rFonts w:ascii="Symbol" w:hAnsi="Symbol" w:hint="default"/>
        <w:color w:val="auto"/>
      </w:rPr>
    </w:lvl>
    <w:lvl w:ilvl="1" w:tplc="7F345C9E">
      <w:start w:val="1"/>
      <w:numFmt w:val="bullet"/>
      <w:lvlText w:val="o"/>
      <w:lvlJc w:val="left"/>
      <w:pPr>
        <w:tabs>
          <w:tab w:val="num" w:pos="1440"/>
        </w:tabs>
        <w:ind w:left="1440" w:hanging="360"/>
      </w:pPr>
      <w:rPr>
        <w:rFonts w:ascii="Courier New" w:hAnsi="Courier New" w:cs="Courier New" w:hint="default"/>
      </w:rPr>
    </w:lvl>
    <w:lvl w:ilvl="2" w:tplc="87F064B8">
      <w:start w:val="1"/>
      <w:numFmt w:val="bullet"/>
      <w:lvlText w:val=""/>
      <w:lvlJc w:val="left"/>
      <w:pPr>
        <w:tabs>
          <w:tab w:val="num" w:pos="2160"/>
        </w:tabs>
        <w:ind w:left="2160" w:hanging="360"/>
      </w:pPr>
      <w:rPr>
        <w:rFonts w:ascii="Wingdings" w:hAnsi="Wingdings" w:hint="default"/>
      </w:rPr>
    </w:lvl>
    <w:lvl w:ilvl="3" w:tplc="61D8376A">
      <w:start w:val="1"/>
      <w:numFmt w:val="bullet"/>
      <w:lvlText w:val=""/>
      <w:lvlJc w:val="left"/>
      <w:pPr>
        <w:tabs>
          <w:tab w:val="num" w:pos="2880"/>
        </w:tabs>
        <w:ind w:left="2880" w:hanging="360"/>
      </w:pPr>
      <w:rPr>
        <w:rFonts w:ascii="Symbol" w:hAnsi="Symbol" w:hint="default"/>
      </w:rPr>
    </w:lvl>
    <w:lvl w:ilvl="4" w:tplc="31D89030">
      <w:start w:val="1"/>
      <w:numFmt w:val="bullet"/>
      <w:lvlText w:val="o"/>
      <w:lvlJc w:val="left"/>
      <w:pPr>
        <w:tabs>
          <w:tab w:val="num" w:pos="3600"/>
        </w:tabs>
        <w:ind w:left="3600" w:hanging="360"/>
      </w:pPr>
      <w:rPr>
        <w:rFonts w:ascii="Courier New" w:hAnsi="Courier New" w:cs="Courier New" w:hint="default"/>
      </w:rPr>
    </w:lvl>
    <w:lvl w:ilvl="5" w:tplc="1E20246A">
      <w:start w:val="1"/>
      <w:numFmt w:val="bullet"/>
      <w:lvlText w:val=""/>
      <w:lvlJc w:val="left"/>
      <w:pPr>
        <w:tabs>
          <w:tab w:val="num" w:pos="4320"/>
        </w:tabs>
        <w:ind w:left="4320" w:hanging="360"/>
      </w:pPr>
      <w:rPr>
        <w:rFonts w:ascii="Wingdings" w:hAnsi="Wingdings" w:hint="default"/>
      </w:rPr>
    </w:lvl>
    <w:lvl w:ilvl="6" w:tplc="45C87A70">
      <w:start w:val="1"/>
      <w:numFmt w:val="bullet"/>
      <w:lvlText w:val=""/>
      <w:lvlJc w:val="left"/>
      <w:pPr>
        <w:tabs>
          <w:tab w:val="num" w:pos="5040"/>
        </w:tabs>
        <w:ind w:left="5040" w:hanging="360"/>
      </w:pPr>
      <w:rPr>
        <w:rFonts w:ascii="Symbol" w:hAnsi="Symbol" w:hint="default"/>
      </w:rPr>
    </w:lvl>
    <w:lvl w:ilvl="7" w:tplc="9E56C5BA">
      <w:start w:val="1"/>
      <w:numFmt w:val="bullet"/>
      <w:lvlText w:val="o"/>
      <w:lvlJc w:val="left"/>
      <w:pPr>
        <w:tabs>
          <w:tab w:val="num" w:pos="5760"/>
        </w:tabs>
        <w:ind w:left="5760" w:hanging="360"/>
      </w:pPr>
      <w:rPr>
        <w:rFonts w:ascii="Courier New" w:hAnsi="Courier New" w:cs="Courier New" w:hint="default"/>
      </w:rPr>
    </w:lvl>
    <w:lvl w:ilvl="8" w:tplc="13FE4CF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B77E9"/>
    <w:multiLevelType w:val="hybridMultilevel"/>
    <w:tmpl w:val="32DA1C84"/>
    <w:lvl w:ilvl="0" w:tplc="7AEE76BC">
      <w:start w:val="1"/>
      <w:numFmt w:val="bullet"/>
      <w:lvlText w:val=""/>
      <w:lvlJc w:val="left"/>
      <w:pPr>
        <w:tabs>
          <w:tab w:val="num" w:pos="360"/>
        </w:tabs>
        <w:ind w:left="360" w:hanging="360"/>
      </w:pPr>
      <w:rPr>
        <w:rFonts w:ascii="Symbol" w:hAnsi="Symbol" w:hint="default"/>
      </w:rPr>
    </w:lvl>
    <w:lvl w:ilvl="1" w:tplc="8408AE08">
      <w:start w:val="1"/>
      <w:numFmt w:val="bullet"/>
      <w:lvlText w:val="o"/>
      <w:lvlJc w:val="left"/>
      <w:pPr>
        <w:tabs>
          <w:tab w:val="num" w:pos="1080"/>
        </w:tabs>
        <w:ind w:left="1080" w:hanging="360"/>
      </w:pPr>
      <w:rPr>
        <w:rFonts w:ascii="Courier New" w:hAnsi="Courier New" w:cs="Times New Roman" w:hint="default"/>
      </w:rPr>
    </w:lvl>
    <w:lvl w:ilvl="2" w:tplc="101093F8">
      <w:start w:val="1"/>
      <w:numFmt w:val="bullet"/>
      <w:lvlText w:val=""/>
      <w:lvlJc w:val="left"/>
      <w:pPr>
        <w:tabs>
          <w:tab w:val="num" w:pos="1800"/>
        </w:tabs>
        <w:ind w:left="1800" w:hanging="360"/>
      </w:pPr>
      <w:rPr>
        <w:rFonts w:ascii="Wingdings" w:hAnsi="Wingdings" w:hint="default"/>
      </w:rPr>
    </w:lvl>
    <w:lvl w:ilvl="3" w:tplc="23E8F286">
      <w:start w:val="1"/>
      <w:numFmt w:val="bullet"/>
      <w:lvlText w:val=""/>
      <w:lvlJc w:val="left"/>
      <w:pPr>
        <w:tabs>
          <w:tab w:val="num" w:pos="2520"/>
        </w:tabs>
        <w:ind w:left="2520" w:hanging="360"/>
      </w:pPr>
      <w:rPr>
        <w:rFonts w:ascii="Symbol" w:hAnsi="Symbol" w:hint="default"/>
      </w:rPr>
    </w:lvl>
    <w:lvl w:ilvl="4" w:tplc="C576D690">
      <w:start w:val="1"/>
      <w:numFmt w:val="bullet"/>
      <w:lvlText w:val="o"/>
      <w:lvlJc w:val="left"/>
      <w:pPr>
        <w:tabs>
          <w:tab w:val="num" w:pos="3240"/>
        </w:tabs>
        <w:ind w:left="3240" w:hanging="360"/>
      </w:pPr>
      <w:rPr>
        <w:rFonts w:ascii="Courier New" w:hAnsi="Courier New" w:cs="Times New Roman" w:hint="default"/>
      </w:rPr>
    </w:lvl>
    <w:lvl w:ilvl="5" w:tplc="03BEF6A2">
      <w:start w:val="1"/>
      <w:numFmt w:val="bullet"/>
      <w:lvlText w:val=""/>
      <w:lvlJc w:val="left"/>
      <w:pPr>
        <w:tabs>
          <w:tab w:val="num" w:pos="3960"/>
        </w:tabs>
        <w:ind w:left="3960" w:hanging="360"/>
      </w:pPr>
      <w:rPr>
        <w:rFonts w:ascii="Wingdings" w:hAnsi="Wingdings" w:hint="default"/>
      </w:rPr>
    </w:lvl>
    <w:lvl w:ilvl="6" w:tplc="548E3546">
      <w:start w:val="1"/>
      <w:numFmt w:val="bullet"/>
      <w:lvlText w:val=""/>
      <w:lvlJc w:val="left"/>
      <w:pPr>
        <w:tabs>
          <w:tab w:val="num" w:pos="4680"/>
        </w:tabs>
        <w:ind w:left="4680" w:hanging="360"/>
      </w:pPr>
      <w:rPr>
        <w:rFonts w:ascii="Symbol" w:hAnsi="Symbol" w:hint="default"/>
      </w:rPr>
    </w:lvl>
    <w:lvl w:ilvl="7" w:tplc="1EC261A8">
      <w:start w:val="1"/>
      <w:numFmt w:val="bullet"/>
      <w:lvlText w:val="o"/>
      <w:lvlJc w:val="left"/>
      <w:pPr>
        <w:tabs>
          <w:tab w:val="num" w:pos="5400"/>
        </w:tabs>
        <w:ind w:left="5400" w:hanging="360"/>
      </w:pPr>
      <w:rPr>
        <w:rFonts w:ascii="Courier New" w:hAnsi="Courier New" w:cs="Times New Roman" w:hint="default"/>
      </w:rPr>
    </w:lvl>
    <w:lvl w:ilvl="8" w:tplc="E01E6A9E">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FF3F56"/>
    <w:multiLevelType w:val="hybridMultilevel"/>
    <w:tmpl w:val="8062B6CA"/>
    <w:lvl w:ilvl="0" w:tplc="3F3ADDF6">
      <w:start w:val="1"/>
      <w:numFmt w:val="lowerLetter"/>
      <w:lvlText w:val="%1."/>
      <w:lvlJc w:val="left"/>
      <w:pPr>
        <w:ind w:left="2217" w:hanging="360"/>
      </w:pPr>
    </w:lvl>
    <w:lvl w:ilvl="1" w:tplc="E83AB72A" w:tentative="1">
      <w:start w:val="1"/>
      <w:numFmt w:val="lowerLetter"/>
      <w:lvlText w:val="%2."/>
      <w:lvlJc w:val="left"/>
      <w:pPr>
        <w:ind w:left="2937" w:hanging="360"/>
      </w:pPr>
    </w:lvl>
    <w:lvl w:ilvl="2" w:tplc="50A0588C" w:tentative="1">
      <w:start w:val="1"/>
      <w:numFmt w:val="lowerRoman"/>
      <w:lvlText w:val="%3."/>
      <w:lvlJc w:val="right"/>
      <w:pPr>
        <w:ind w:left="3657" w:hanging="180"/>
      </w:pPr>
    </w:lvl>
    <w:lvl w:ilvl="3" w:tplc="7428A718" w:tentative="1">
      <w:start w:val="1"/>
      <w:numFmt w:val="decimal"/>
      <w:lvlText w:val="%4."/>
      <w:lvlJc w:val="left"/>
      <w:pPr>
        <w:ind w:left="4377" w:hanging="360"/>
      </w:pPr>
    </w:lvl>
    <w:lvl w:ilvl="4" w:tplc="E4AC16A4" w:tentative="1">
      <w:start w:val="1"/>
      <w:numFmt w:val="lowerLetter"/>
      <w:lvlText w:val="%5."/>
      <w:lvlJc w:val="left"/>
      <w:pPr>
        <w:ind w:left="5097" w:hanging="360"/>
      </w:pPr>
    </w:lvl>
    <w:lvl w:ilvl="5" w:tplc="F5A08DA6" w:tentative="1">
      <w:start w:val="1"/>
      <w:numFmt w:val="lowerRoman"/>
      <w:lvlText w:val="%6."/>
      <w:lvlJc w:val="right"/>
      <w:pPr>
        <w:ind w:left="5817" w:hanging="180"/>
      </w:pPr>
    </w:lvl>
    <w:lvl w:ilvl="6" w:tplc="BF0A9B58" w:tentative="1">
      <w:start w:val="1"/>
      <w:numFmt w:val="decimal"/>
      <w:lvlText w:val="%7."/>
      <w:lvlJc w:val="left"/>
      <w:pPr>
        <w:ind w:left="6537" w:hanging="360"/>
      </w:pPr>
    </w:lvl>
    <w:lvl w:ilvl="7" w:tplc="FC3AE234" w:tentative="1">
      <w:start w:val="1"/>
      <w:numFmt w:val="lowerLetter"/>
      <w:lvlText w:val="%8."/>
      <w:lvlJc w:val="left"/>
      <w:pPr>
        <w:ind w:left="7257" w:hanging="360"/>
      </w:pPr>
    </w:lvl>
    <w:lvl w:ilvl="8" w:tplc="8E0AC2F8" w:tentative="1">
      <w:start w:val="1"/>
      <w:numFmt w:val="lowerRoman"/>
      <w:lvlText w:val="%9."/>
      <w:lvlJc w:val="right"/>
      <w:pPr>
        <w:ind w:left="7977" w:hanging="180"/>
      </w:pPr>
    </w:lvl>
  </w:abstractNum>
  <w:abstractNum w:abstractNumId="6" w15:restartNumberingAfterBreak="0">
    <w:nsid w:val="4BD15B37"/>
    <w:multiLevelType w:val="hybridMultilevel"/>
    <w:tmpl w:val="1A189032"/>
    <w:lvl w:ilvl="0" w:tplc="7AEE97CC">
      <w:start w:val="1"/>
      <w:numFmt w:val="decimal"/>
      <w:lvlText w:val="%1."/>
      <w:lvlJc w:val="left"/>
      <w:pPr>
        <w:ind w:left="720" w:hanging="360"/>
      </w:pPr>
      <w:rPr>
        <w:rFonts w:hint="default"/>
      </w:rPr>
    </w:lvl>
    <w:lvl w:ilvl="1" w:tplc="1CE86D90" w:tentative="1">
      <w:start w:val="1"/>
      <w:numFmt w:val="lowerLetter"/>
      <w:lvlText w:val="%2."/>
      <w:lvlJc w:val="left"/>
      <w:pPr>
        <w:ind w:left="1440" w:hanging="360"/>
      </w:pPr>
    </w:lvl>
    <w:lvl w:ilvl="2" w:tplc="C7B86580" w:tentative="1">
      <w:start w:val="1"/>
      <w:numFmt w:val="lowerRoman"/>
      <w:lvlText w:val="%3."/>
      <w:lvlJc w:val="right"/>
      <w:pPr>
        <w:ind w:left="2160" w:hanging="180"/>
      </w:pPr>
    </w:lvl>
    <w:lvl w:ilvl="3" w:tplc="439400F2" w:tentative="1">
      <w:start w:val="1"/>
      <w:numFmt w:val="decimal"/>
      <w:lvlText w:val="%4."/>
      <w:lvlJc w:val="left"/>
      <w:pPr>
        <w:ind w:left="2880" w:hanging="360"/>
      </w:pPr>
    </w:lvl>
    <w:lvl w:ilvl="4" w:tplc="87BEFD52" w:tentative="1">
      <w:start w:val="1"/>
      <w:numFmt w:val="lowerLetter"/>
      <w:lvlText w:val="%5."/>
      <w:lvlJc w:val="left"/>
      <w:pPr>
        <w:ind w:left="3600" w:hanging="360"/>
      </w:pPr>
    </w:lvl>
    <w:lvl w:ilvl="5" w:tplc="FAD44704" w:tentative="1">
      <w:start w:val="1"/>
      <w:numFmt w:val="lowerRoman"/>
      <w:lvlText w:val="%6."/>
      <w:lvlJc w:val="right"/>
      <w:pPr>
        <w:ind w:left="4320" w:hanging="180"/>
      </w:pPr>
    </w:lvl>
    <w:lvl w:ilvl="6" w:tplc="AFEA2148" w:tentative="1">
      <w:start w:val="1"/>
      <w:numFmt w:val="decimal"/>
      <w:lvlText w:val="%7."/>
      <w:lvlJc w:val="left"/>
      <w:pPr>
        <w:ind w:left="5040" w:hanging="360"/>
      </w:pPr>
    </w:lvl>
    <w:lvl w:ilvl="7" w:tplc="080CF818" w:tentative="1">
      <w:start w:val="1"/>
      <w:numFmt w:val="lowerLetter"/>
      <w:lvlText w:val="%8."/>
      <w:lvlJc w:val="left"/>
      <w:pPr>
        <w:ind w:left="5760" w:hanging="360"/>
      </w:pPr>
    </w:lvl>
    <w:lvl w:ilvl="8" w:tplc="56903762" w:tentative="1">
      <w:start w:val="1"/>
      <w:numFmt w:val="lowerRoman"/>
      <w:lvlText w:val="%9."/>
      <w:lvlJc w:val="right"/>
      <w:pPr>
        <w:ind w:left="6480" w:hanging="180"/>
      </w:pPr>
    </w:lvl>
  </w:abstractNum>
  <w:abstractNum w:abstractNumId="7" w15:restartNumberingAfterBreak="0">
    <w:nsid w:val="6274481B"/>
    <w:multiLevelType w:val="hybridMultilevel"/>
    <w:tmpl w:val="A65E0756"/>
    <w:lvl w:ilvl="0" w:tplc="D78A4A4A">
      <w:start w:val="1"/>
      <w:numFmt w:val="bullet"/>
      <w:lvlText w:val="!"/>
      <w:lvlJc w:val="left"/>
      <w:pPr>
        <w:ind w:left="1148" w:hanging="360"/>
      </w:pPr>
      <w:rPr>
        <w:rFonts w:ascii="Calibri" w:hAnsi="Calibri" w:hint="default"/>
        <w:b/>
        <w:color w:val="FF0000"/>
      </w:rPr>
    </w:lvl>
    <w:lvl w:ilvl="1" w:tplc="0C090003" w:tentative="1">
      <w:start w:val="1"/>
      <w:numFmt w:val="bullet"/>
      <w:lvlText w:val="o"/>
      <w:lvlJc w:val="left"/>
      <w:pPr>
        <w:ind w:left="1868" w:hanging="360"/>
      </w:pPr>
      <w:rPr>
        <w:rFonts w:ascii="Courier New" w:hAnsi="Courier New" w:cs="Courier New" w:hint="default"/>
      </w:rPr>
    </w:lvl>
    <w:lvl w:ilvl="2" w:tplc="0C090005" w:tentative="1">
      <w:start w:val="1"/>
      <w:numFmt w:val="bullet"/>
      <w:lvlText w:val=""/>
      <w:lvlJc w:val="left"/>
      <w:pPr>
        <w:ind w:left="2588" w:hanging="360"/>
      </w:pPr>
      <w:rPr>
        <w:rFonts w:ascii="Wingdings" w:hAnsi="Wingdings" w:hint="default"/>
      </w:rPr>
    </w:lvl>
    <w:lvl w:ilvl="3" w:tplc="0C090001" w:tentative="1">
      <w:start w:val="1"/>
      <w:numFmt w:val="bullet"/>
      <w:lvlText w:val=""/>
      <w:lvlJc w:val="left"/>
      <w:pPr>
        <w:ind w:left="3308" w:hanging="360"/>
      </w:pPr>
      <w:rPr>
        <w:rFonts w:ascii="Symbol" w:hAnsi="Symbol" w:hint="default"/>
      </w:rPr>
    </w:lvl>
    <w:lvl w:ilvl="4" w:tplc="0C090003" w:tentative="1">
      <w:start w:val="1"/>
      <w:numFmt w:val="bullet"/>
      <w:lvlText w:val="o"/>
      <w:lvlJc w:val="left"/>
      <w:pPr>
        <w:ind w:left="4028" w:hanging="360"/>
      </w:pPr>
      <w:rPr>
        <w:rFonts w:ascii="Courier New" w:hAnsi="Courier New" w:cs="Courier New" w:hint="default"/>
      </w:rPr>
    </w:lvl>
    <w:lvl w:ilvl="5" w:tplc="0C090005" w:tentative="1">
      <w:start w:val="1"/>
      <w:numFmt w:val="bullet"/>
      <w:lvlText w:val=""/>
      <w:lvlJc w:val="left"/>
      <w:pPr>
        <w:ind w:left="4748" w:hanging="360"/>
      </w:pPr>
      <w:rPr>
        <w:rFonts w:ascii="Wingdings" w:hAnsi="Wingdings" w:hint="default"/>
      </w:rPr>
    </w:lvl>
    <w:lvl w:ilvl="6" w:tplc="0C090001" w:tentative="1">
      <w:start w:val="1"/>
      <w:numFmt w:val="bullet"/>
      <w:lvlText w:val=""/>
      <w:lvlJc w:val="left"/>
      <w:pPr>
        <w:ind w:left="5468" w:hanging="360"/>
      </w:pPr>
      <w:rPr>
        <w:rFonts w:ascii="Symbol" w:hAnsi="Symbol" w:hint="default"/>
      </w:rPr>
    </w:lvl>
    <w:lvl w:ilvl="7" w:tplc="0C090003" w:tentative="1">
      <w:start w:val="1"/>
      <w:numFmt w:val="bullet"/>
      <w:lvlText w:val="o"/>
      <w:lvlJc w:val="left"/>
      <w:pPr>
        <w:ind w:left="6188" w:hanging="360"/>
      </w:pPr>
      <w:rPr>
        <w:rFonts w:ascii="Courier New" w:hAnsi="Courier New" w:cs="Courier New" w:hint="default"/>
      </w:rPr>
    </w:lvl>
    <w:lvl w:ilvl="8" w:tplc="0C090005" w:tentative="1">
      <w:start w:val="1"/>
      <w:numFmt w:val="bullet"/>
      <w:lvlText w:val=""/>
      <w:lvlJc w:val="left"/>
      <w:pPr>
        <w:ind w:left="6908" w:hanging="360"/>
      </w:pPr>
      <w:rPr>
        <w:rFonts w:ascii="Wingdings" w:hAnsi="Wingdings" w:hint="default"/>
      </w:rPr>
    </w:lvl>
  </w:abstractNum>
  <w:abstractNum w:abstractNumId="8" w15:restartNumberingAfterBreak="0">
    <w:nsid w:val="62923A53"/>
    <w:multiLevelType w:val="hybridMultilevel"/>
    <w:tmpl w:val="42144DFE"/>
    <w:lvl w:ilvl="0" w:tplc="6A7EF00C">
      <w:start w:val="14"/>
      <w:numFmt w:val="decimal"/>
      <w:lvlText w:val="%1."/>
      <w:lvlJc w:val="left"/>
      <w:pPr>
        <w:ind w:left="1211" w:hanging="360"/>
      </w:pPr>
      <w:rPr>
        <w:rFonts w:hint="default"/>
      </w:rPr>
    </w:lvl>
    <w:lvl w:ilvl="1" w:tplc="9C0012D8" w:tentative="1">
      <w:start w:val="1"/>
      <w:numFmt w:val="lowerLetter"/>
      <w:lvlText w:val="%2."/>
      <w:lvlJc w:val="left"/>
      <w:pPr>
        <w:ind w:left="1931" w:hanging="360"/>
      </w:pPr>
    </w:lvl>
    <w:lvl w:ilvl="2" w:tplc="354610B6" w:tentative="1">
      <w:start w:val="1"/>
      <w:numFmt w:val="lowerRoman"/>
      <w:lvlText w:val="%3."/>
      <w:lvlJc w:val="right"/>
      <w:pPr>
        <w:ind w:left="2651" w:hanging="180"/>
      </w:pPr>
    </w:lvl>
    <w:lvl w:ilvl="3" w:tplc="7B201B8E" w:tentative="1">
      <w:start w:val="1"/>
      <w:numFmt w:val="decimal"/>
      <w:lvlText w:val="%4."/>
      <w:lvlJc w:val="left"/>
      <w:pPr>
        <w:ind w:left="3371" w:hanging="360"/>
      </w:pPr>
    </w:lvl>
    <w:lvl w:ilvl="4" w:tplc="6FE2A56C" w:tentative="1">
      <w:start w:val="1"/>
      <w:numFmt w:val="lowerLetter"/>
      <w:lvlText w:val="%5."/>
      <w:lvlJc w:val="left"/>
      <w:pPr>
        <w:ind w:left="4091" w:hanging="360"/>
      </w:pPr>
    </w:lvl>
    <w:lvl w:ilvl="5" w:tplc="C7D00B48" w:tentative="1">
      <w:start w:val="1"/>
      <w:numFmt w:val="lowerRoman"/>
      <w:lvlText w:val="%6."/>
      <w:lvlJc w:val="right"/>
      <w:pPr>
        <w:ind w:left="4811" w:hanging="180"/>
      </w:pPr>
    </w:lvl>
    <w:lvl w:ilvl="6" w:tplc="4E129000" w:tentative="1">
      <w:start w:val="1"/>
      <w:numFmt w:val="decimal"/>
      <w:lvlText w:val="%7."/>
      <w:lvlJc w:val="left"/>
      <w:pPr>
        <w:ind w:left="5531" w:hanging="360"/>
      </w:pPr>
    </w:lvl>
    <w:lvl w:ilvl="7" w:tplc="EB1E79A8" w:tentative="1">
      <w:start w:val="1"/>
      <w:numFmt w:val="lowerLetter"/>
      <w:lvlText w:val="%8."/>
      <w:lvlJc w:val="left"/>
      <w:pPr>
        <w:ind w:left="6251" w:hanging="360"/>
      </w:pPr>
    </w:lvl>
    <w:lvl w:ilvl="8" w:tplc="BE484C64" w:tentative="1">
      <w:start w:val="1"/>
      <w:numFmt w:val="lowerRoman"/>
      <w:lvlText w:val="%9."/>
      <w:lvlJc w:val="right"/>
      <w:pPr>
        <w:ind w:left="6971" w:hanging="180"/>
      </w:pPr>
    </w:lvl>
  </w:abstractNum>
  <w:abstractNum w:abstractNumId="9" w15:restartNumberingAfterBreak="0">
    <w:nsid w:val="62F93253"/>
    <w:multiLevelType w:val="hybridMultilevel"/>
    <w:tmpl w:val="8C4E1934"/>
    <w:lvl w:ilvl="0" w:tplc="F36CFA14">
      <w:start w:val="1"/>
      <w:numFmt w:val="decimal"/>
      <w:lvlText w:val="%1."/>
      <w:lvlJc w:val="left"/>
      <w:pPr>
        <w:ind w:left="720" w:hanging="360"/>
      </w:pPr>
    </w:lvl>
    <w:lvl w:ilvl="1" w:tplc="78E45D10">
      <w:start w:val="1"/>
      <w:numFmt w:val="decimal"/>
      <w:lvlText w:val="%2."/>
      <w:lvlJc w:val="left"/>
      <w:pPr>
        <w:ind w:left="1440" w:hanging="360"/>
      </w:pPr>
    </w:lvl>
    <w:lvl w:ilvl="2" w:tplc="8556A7D4" w:tentative="1">
      <w:start w:val="1"/>
      <w:numFmt w:val="lowerRoman"/>
      <w:lvlText w:val="%3."/>
      <w:lvlJc w:val="right"/>
      <w:pPr>
        <w:ind w:left="2160" w:hanging="180"/>
      </w:pPr>
    </w:lvl>
    <w:lvl w:ilvl="3" w:tplc="F0D818DA" w:tentative="1">
      <w:start w:val="1"/>
      <w:numFmt w:val="decimal"/>
      <w:lvlText w:val="%4."/>
      <w:lvlJc w:val="left"/>
      <w:pPr>
        <w:ind w:left="2880" w:hanging="360"/>
      </w:pPr>
    </w:lvl>
    <w:lvl w:ilvl="4" w:tplc="E1EA72BC" w:tentative="1">
      <w:start w:val="1"/>
      <w:numFmt w:val="lowerLetter"/>
      <w:lvlText w:val="%5."/>
      <w:lvlJc w:val="left"/>
      <w:pPr>
        <w:ind w:left="3600" w:hanging="360"/>
      </w:pPr>
    </w:lvl>
    <w:lvl w:ilvl="5" w:tplc="18F25272" w:tentative="1">
      <w:start w:val="1"/>
      <w:numFmt w:val="lowerRoman"/>
      <w:lvlText w:val="%6."/>
      <w:lvlJc w:val="right"/>
      <w:pPr>
        <w:ind w:left="4320" w:hanging="180"/>
      </w:pPr>
    </w:lvl>
    <w:lvl w:ilvl="6" w:tplc="6874C152" w:tentative="1">
      <w:start w:val="1"/>
      <w:numFmt w:val="decimal"/>
      <w:lvlText w:val="%7."/>
      <w:lvlJc w:val="left"/>
      <w:pPr>
        <w:ind w:left="5040" w:hanging="360"/>
      </w:pPr>
    </w:lvl>
    <w:lvl w:ilvl="7" w:tplc="10F02FE2" w:tentative="1">
      <w:start w:val="1"/>
      <w:numFmt w:val="lowerLetter"/>
      <w:lvlText w:val="%8."/>
      <w:lvlJc w:val="left"/>
      <w:pPr>
        <w:ind w:left="5760" w:hanging="360"/>
      </w:pPr>
    </w:lvl>
    <w:lvl w:ilvl="8" w:tplc="50A660B2" w:tentative="1">
      <w:start w:val="1"/>
      <w:numFmt w:val="lowerRoman"/>
      <w:lvlText w:val="%9."/>
      <w:lvlJc w:val="right"/>
      <w:pPr>
        <w:ind w:left="6480" w:hanging="180"/>
      </w:pPr>
    </w:lvl>
  </w:abstractNum>
  <w:abstractNum w:abstractNumId="10" w15:restartNumberingAfterBreak="0">
    <w:nsid w:val="63B26377"/>
    <w:multiLevelType w:val="multilevel"/>
    <w:tmpl w:val="9E9AF720"/>
    <w:lvl w:ilvl="0">
      <w:start w:val="1"/>
      <w:numFmt w:val="decimal"/>
      <w:pStyle w:val="Heading1"/>
      <w:lvlText w:val="%1"/>
      <w:lvlJc w:val="left"/>
      <w:pPr>
        <w:ind w:left="6103" w:hanging="432"/>
      </w:pPr>
    </w:lvl>
    <w:lvl w:ilvl="1">
      <w:start w:val="1"/>
      <w:numFmt w:val="decimal"/>
      <w:lvlText w:val="%1.%2"/>
      <w:lvlJc w:val="left"/>
      <w:pPr>
        <w:ind w:left="3412" w:hanging="576"/>
      </w:pPr>
    </w:lvl>
    <w:lvl w:ilvl="2">
      <w:start w:val="1"/>
      <w:numFmt w:val="decimal"/>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CD90843"/>
    <w:multiLevelType w:val="hybridMultilevel"/>
    <w:tmpl w:val="29B6901C"/>
    <w:lvl w:ilvl="0" w:tplc="7B40DA64">
      <w:numFmt w:val="bullet"/>
      <w:lvlText w:val="—"/>
      <w:lvlJc w:val="left"/>
      <w:pPr>
        <w:ind w:left="720" w:hanging="360"/>
      </w:pPr>
      <w:rPr>
        <w:rFonts w:ascii="Calibri" w:eastAsiaTheme="minorHAnsi" w:hAnsi="Calibri" w:cstheme="minorBidi" w:hint="default"/>
      </w:rPr>
    </w:lvl>
    <w:lvl w:ilvl="1" w:tplc="A90E151C" w:tentative="1">
      <w:start w:val="1"/>
      <w:numFmt w:val="bullet"/>
      <w:lvlText w:val="o"/>
      <w:lvlJc w:val="left"/>
      <w:pPr>
        <w:ind w:left="1440" w:hanging="360"/>
      </w:pPr>
      <w:rPr>
        <w:rFonts w:ascii="Courier New" w:hAnsi="Courier New" w:cs="Courier New" w:hint="default"/>
      </w:rPr>
    </w:lvl>
    <w:lvl w:ilvl="2" w:tplc="4F7CBE3E" w:tentative="1">
      <w:start w:val="1"/>
      <w:numFmt w:val="bullet"/>
      <w:lvlText w:val=""/>
      <w:lvlJc w:val="left"/>
      <w:pPr>
        <w:ind w:left="2160" w:hanging="360"/>
      </w:pPr>
      <w:rPr>
        <w:rFonts w:ascii="Wingdings" w:hAnsi="Wingdings" w:hint="default"/>
      </w:rPr>
    </w:lvl>
    <w:lvl w:ilvl="3" w:tplc="C2281E7C" w:tentative="1">
      <w:start w:val="1"/>
      <w:numFmt w:val="bullet"/>
      <w:lvlText w:val=""/>
      <w:lvlJc w:val="left"/>
      <w:pPr>
        <w:ind w:left="2880" w:hanging="360"/>
      </w:pPr>
      <w:rPr>
        <w:rFonts w:ascii="Symbol" w:hAnsi="Symbol" w:hint="default"/>
      </w:rPr>
    </w:lvl>
    <w:lvl w:ilvl="4" w:tplc="F538E8A8" w:tentative="1">
      <w:start w:val="1"/>
      <w:numFmt w:val="bullet"/>
      <w:lvlText w:val="o"/>
      <w:lvlJc w:val="left"/>
      <w:pPr>
        <w:ind w:left="3600" w:hanging="360"/>
      </w:pPr>
      <w:rPr>
        <w:rFonts w:ascii="Courier New" w:hAnsi="Courier New" w:cs="Courier New" w:hint="default"/>
      </w:rPr>
    </w:lvl>
    <w:lvl w:ilvl="5" w:tplc="3D2C48E0" w:tentative="1">
      <w:start w:val="1"/>
      <w:numFmt w:val="bullet"/>
      <w:lvlText w:val=""/>
      <w:lvlJc w:val="left"/>
      <w:pPr>
        <w:ind w:left="4320" w:hanging="360"/>
      </w:pPr>
      <w:rPr>
        <w:rFonts w:ascii="Wingdings" w:hAnsi="Wingdings" w:hint="default"/>
      </w:rPr>
    </w:lvl>
    <w:lvl w:ilvl="6" w:tplc="3BA2485E" w:tentative="1">
      <w:start w:val="1"/>
      <w:numFmt w:val="bullet"/>
      <w:lvlText w:val=""/>
      <w:lvlJc w:val="left"/>
      <w:pPr>
        <w:ind w:left="5040" w:hanging="360"/>
      </w:pPr>
      <w:rPr>
        <w:rFonts w:ascii="Symbol" w:hAnsi="Symbol" w:hint="default"/>
      </w:rPr>
    </w:lvl>
    <w:lvl w:ilvl="7" w:tplc="B9CC36BA" w:tentative="1">
      <w:start w:val="1"/>
      <w:numFmt w:val="bullet"/>
      <w:lvlText w:val="o"/>
      <w:lvlJc w:val="left"/>
      <w:pPr>
        <w:ind w:left="5760" w:hanging="360"/>
      </w:pPr>
      <w:rPr>
        <w:rFonts w:ascii="Courier New" w:hAnsi="Courier New" w:cs="Courier New" w:hint="default"/>
      </w:rPr>
    </w:lvl>
    <w:lvl w:ilvl="8" w:tplc="E4482058" w:tentative="1">
      <w:start w:val="1"/>
      <w:numFmt w:val="bullet"/>
      <w:lvlText w:val=""/>
      <w:lvlJc w:val="left"/>
      <w:pPr>
        <w:ind w:left="6480" w:hanging="360"/>
      </w:pPr>
      <w:rPr>
        <w:rFonts w:ascii="Wingdings" w:hAnsi="Wingdings" w:hint="default"/>
      </w:rPr>
    </w:lvl>
  </w:abstractNum>
  <w:abstractNum w:abstractNumId="12" w15:restartNumberingAfterBreak="0">
    <w:nsid w:val="75B334B1"/>
    <w:multiLevelType w:val="hybridMultilevel"/>
    <w:tmpl w:val="744A994A"/>
    <w:lvl w:ilvl="0" w:tplc="3214B2F8">
      <w:start w:val="1"/>
      <w:numFmt w:val="decimal"/>
      <w:lvlText w:val="%1."/>
      <w:lvlJc w:val="left"/>
      <w:pPr>
        <w:ind w:left="720" w:hanging="360"/>
      </w:pPr>
    </w:lvl>
    <w:lvl w:ilvl="1" w:tplc="5F385CAE">
      <w:start w:val="1"/>
      <w:numFmt w:val="decimal"/>
      <w:lvlText w:val="%2."/>
      <w:lvlJc w:val="left"/>
      <w:pPr>
        <w:ind w:left="1440" w:hanging="360"/>
      </w:pPr>
    </w:lvl>
    <w:lvl w:ilvl="2" w:tplc="F3500156" w:tentative="1">
      <w:start w:val="1"/>
      <w:numFmt w:val="lowerRoman"/>
      <w:lvlText w:val="%3."/>
      <w:lvlJc w:val="right"/>
      <w:pPr>
        <w:ind w:left="2160" w:hanging="180"/>
      </w:pPr>
    </w:lvl>
    <w:lvl w:ilvl="3" w:tplc="98BAA752" w:tentative="1">
      <w:start w:val="1"/>
      <w:numFmt w:val="decimal"/>
      <w:lvlText w:val="%4."/>
      <w:lvlJc w:val="left"/>
      <w:pPr>
        <w:ind w:left="2880" w:hanging="360"/>
      </w:pPr>
    </w:lvl>
    <w:lvl w:ilvl="4" w:tplc="9D401C74" w:tentative="1">
      <w:start w:val="1"/>
      <w:numFmt w:val="lowerLetter"/>
      <w:lvlText w:val="%5."/>
      <w:lvlJc w:val="left"/>
      <w:pPr>
        <w:ind w:left="3600" w:hanging="360"/>
      </w:pPr>
    </w:lvl>
    <w:lvl w:ilvl="5" w:tplc="EDC64D50" w:tentative="1">
      <w:start w:val="1"/>
      <w:numFmt w:val="lowerRoman"/>
      <w:lvlText w:val="%6."/>
      <w:lvlJc w:val="right"/>
      <w:pPr>
        <w:ind w:left="4320" w:hanging="180"/>
      </w:pPr>
    </w:lvl>
    <w:lvl w:ilvl="6" w:tplc="65607B56" w:tentative="1">
      <w:start w:val="1"/>
      <w:numFmt w:val="decimal"/>
      <w:lvlText w:val="%7."/>
      <w:lvlJc w:val="left"/>
      <w:pPr>
        <w:ind w:left="5040" w:hanging="360"/>
      </w:pPr>
    </w:lvl>
    <w:lvl w:ilvl="7" w:tplc="18084F8E" w:tentative="1">
      <w:start w:val="1"/>
      <w:numFmt w:val="lowerLetter"/>
      <w:lvlText w:val="%8."/>
      <w:lvlJc w:val="left"/>
      <w:pPr>
        <w:ind w:left="5760" w:hanging="360"/>
      </w:pPr>
    </w:lvl>
    <w:lvl w:ilvl="8" w:tplc="89F0655C" w:tentative="1">
      <w:start w:val="1"/>
      <w:numFmt w:val="lowerRoman"/>
      <w:lvlText w:val="%9."/>
      <w:lvlJc w:val="right"/>
      <w:pPr>
        <w:ind w:left="6480" w:hanging="180"/>
      </w:pPr>
    </w:lvl>
  </w:abstractNum>
  <w:abstractNum w:abstractNumId="13" w15:restartNumberingAfterBreak="0">
    <w:nsid w:val="766964EF"/>
    <w:multiLevelType w:val="hybridMultilevel"/>
    <w:tmpl w:val="5CE4FDDE"/>
    <w:lvl w:ilvl="0" w:tplc="1F566D44">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48644734">
    <w:abstractNumId w:val="0"/>
  </w:num>
  <w:num w:numId="2" w16cid:durableId="1273706609">
    <w:abstractNumId w:val="2"/>
  </w:num>
  <w:num w:numId="3" w16cid:durableId="1666930080">
    <w:abstractNumId w:val="10"/>
  </w:num>
  <w:num w:numId="4" w16cid:durableId="1667635189">
    <w:abstractNumId w:val="1"/>
  </w:num>
  <w:num w:numId="5" w16cid:durableId="1513371965">
    <w:abstractNumId w:val="4"/>
  </w:num>
  <w:num w:numId="6" w16cid:durableId="753015009">
    <w:abstractNumId w:val="3"/>
  </w:num>
  <w:num w:numId="7" w16cid:durableId="428282540">
    <w:abstractNumId w:val="5"/>
  </w:num>
  <w:num w:numId="8" w16cid:durableId="383867214">
    <w:abstractNumId w:val="12"/>
  </w:num>
  <w:num w:numId="9" w16cid:durableId="200830347">
    <w:abstractNumId w:val="9"/>
  </w:num>
  <w:num w:numId="10" w16cid:durableId="337538671">
    <w:abstractNumId w:val="11"/>
  </w:num>
  <w:num w:numId="11" w16cid:durableId="504132211">
    <w:abstractNumId w:val="6"/>
  </w:num>
  <w:num w:numId="12" w16cid:durableId="1965307567">
    <w:abstractNumId w:val="8"/>
  </w:num>
  <w:num w:numId="13" w16cid:durableId="2017806187">
    <w:abstractNumId w:val="13"/>
  </w:num>
  <w:num w:numId="14" w16cid:durableId="140564495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599"/>
    <w:rsid w:val="00000F9A"/>
    <w:rsid w:val="00002BBF"/>
    <w:rsid w:val="00012F50"/>
    <w:rsid w:val="00015B1B"/>
    <w:rsid w:val="00016EC8"/>
    <w:rsid w:val="00016FF1"/>
    <w:rsid w:val="00017821"/>
    <w:rsid w:val="000248CC"/>
    <w:rsid w:val="000256B8"/>
    <w:rsid w:val="00026556"/>
    <w:rsid w:val="000320C6"/>
    <w:rsid w:val="000332C9"/>
    <w:rsid w:val="0003678F"/>
    <w:rsid w:val="0004029B"/>
    <w:rsid w:val="000409D2"/>
    <w:rsid w:val="00043B6E"/>
    <w:rsid w:val="000441B7"/>
    <w:rsid w:val="00047CDD"/>
    <w:rsid w:val="00053EE7"/>
    <w:rsid w:val="00055286"/>
    <w:rsid w:val="00055827"/>
    <w:rsid w:val="000572D1"/>
    <w:rsid w:val="00061F01"/>
    <w:rsid w:val="00063D59"/>
    <w:rsid w:val="000662CC"/>
    <w:rsid w:val="00066300"/>
    <w:rsid w:val="00071384"/>
    <w:rsid w:val="00073053"/>
    <w:rsid w:val="00073E73"/>
    <w:rsid w:val="0007456C"/>
    <w:rsid w:val="0008318D"/>
    <w:rsid w:val="00084788"/>
    <w:rsid w:val="00085C46"/>
    <w:rsid w:val="00086B67"/>
    <w:rsid w:val="00090C2B"/>
    <w:rsid w:val="00091AF0"/>
    <w:rsid w:val="0009402A"/>
    <w:rsid w:val="00094B31"/>
    <w:rsid w:val="000950A0"/>
    <w:rsid w:val="000958A2"/>
    <w:rsid w:val="000A1E58"/>
    <w:rsid w:val="000A1EF9"/>
    <w:rsid w:val="000A2BBD"/>
    <w:rsid w:val="000B1F25"/>
    <w:rsid w:val="000B4663"/>
    <w:rsid w:val="000B5016"/>
    <w:rsid w:val="000B6AEF"/>
    <w:rsid w:val="000B723A"/>
    <w:rsid w:val="000B730F"/>
    <w:rsid w:val="000B760C"/>
    <w:rsid w:val="000C180F"/>
    <w:rsid w:val="000C355D"/>
    <w:rsid w:val="000C5866"/>
    <w:rsid w:val="000D0BEE"/>
    <w:rsid w:val="000D4A24"/>
    <w:rsid w:val="000D6695"/>
    <w:rsid w:val="000D67DB"/>
    <w:rsid w:val="000E178D"/>
    <w:rsid w:val="000E3562"/>
    <w:rsid w:val="000E4436"/>
    <w:rsid w:val="000E5432"/>
    <w:rsid w:val="000E6C46"/>
    <w:rsid w:val="000E7BE3"/>
    <w:rsid w:val="000F19AE"/>
    <w:rsid w:val="000F5EAB"/>
    <w:rsid w:val="00100EEF"/>
    <w:rsid w:val="001016DE"/>
    <w:rsid w:val="001024EA"/>
    <w:rsid w:val="00110BF9"/>
    <w:rsid w:val="001137CC"/>
    <w:rsid w:val="001146D7"/>
    <w:rsid w:val="00117051"/>
    <w:rsid w:val="001207AE"/>
    <w:rsid w:val="00123BB8"/>
    <w:rsid w:val="00124DCA"/>
    <w:rsid w:val="0012723F"/>
    <w:rsid w:val="00137627"/>
    <w:rsid w:val="00142B86"/>
    <w:rsid w:val="001439CC"/>
    <w:rsid w:val="00154243"/>
    <w:rsid w:val="001643AC"/>
    <w:rsid w:val="001667E6"/>
    <w:rsid w:val="001669C0"/>
    <w:rsid w:val="00167995"/>
    <w:rsid w:val="00170F55"/>
    <w:rsid w:val="00171905"/>
    <w:rsid w:val="00182852"/>
    <w:rsid w:val="0018660A"/>
    <w:rsid w:val="0019270B"/>
    <w:rsid w:val="0019320D"/>
    <w:rsid w:val="00196100"/>
    <w:rsid w:val="001966B1"/>
    <w:rsid w:val="00197482"/>
    <w:rsid w:val="00197897"/>
    <w:rsid w:val="00197A8A"/>
    <w:rsid w:val="001A00CD"/>
    <w:rsid w:val="001A14AC"/>
    <w:rsid w:val="001A4867"/>
    <w:rsid w:val="001A7C6F"/>
    <w:rsid w:val="001B3F70"/>
    <w:rsid w:val="001B47DA"/>
    <w:rsid w:val="001B55CB"/>
    <w:rsid w:val="001B7B53"/>
    <w:rsid w:val="001C0A09"/>
    <w:rsid w:val="001C0A1C"/>
    <w:rsid w:val="001C0A71"/>
    <w:rsid w:val="001C1A89"/>
    <w:rsid w:val="001C36BE"/>
    <w:rsid w:val="001C639F"/>
    <w:rsid w:val="001C6F17"/>
    <w:rsid w:val="001D2366"/>
    <w:rsid w:val="001D4A41"/>
    <w:rsid w:val="001E0163"/>
    <w:rsid w:val="001E02E3"/>
    <w:rsid w:val="001E545C"/>
    <w:rsid w:val="001E5D3F"/>
    <w:rsid w:val="001E7A04"/>
    <w:rsid w:val="001F3C75"/>
    <w:rsid w:val="001F428A"/>
    <w:rsid w:val="001F4C55"/>
    <w:rsid w:val="001F6D39"/>
    <w:rsid w:val="0020130B"/>
    <w:rsid w:val="0020217A"/>
    <w:rsid w:val="00203960"/>
    <w:rsid w:val="00212D67"/>
    <w:rsid w:val="00215DA5"/>
    <w:rsid w:val="00216765"/>
    <w:rsid w:val="002225D2"/>
    <w:rsid w:val="00225F7D"/>
    <w:rsid w:val="00230371"/>
    <w:rsid w:val="002353F2"/>
    <w:rsid w:val="00241410"/>
    <w:rsid w:val="00242072"/>
    <w:rsid w:val="00250A7E"/>
    <w:rsid w:val="00251A8A"/>
    <w:rsid w:val="00255765"/>
    <w:rsid w:val="00255EB0"/>
    <w:rsid w:val="00256DA7"/>
    <w:rsid w:val="00262191"/>
    <w:rsid w:val="002621DC"/>
    <w:rsid w:val="00264DD2"/>
    <w:rsid w:val="0026629A"/>
    <w:rsid w:val="00267A91"/>
    <w:rsid w:val="00267C0B"/>
    <w:rsid w:val="002727AC"/>
    <w:rsid w:val="00273D67"/>
    <w:rsid w:val="00275877"/>
    <w:rsid w:val="0028242A"/>
    <w:rsid w:val="00282FB7"/>
    <w:rsid w:val="00284A6D"/>
    <w:rsid w:val="002856C3"/>
    <w:rsid w:val="00287D4B"/>
    <w:rsid w:val="002941D5"/>
    <w:rsid w:val="002A2D7F"/>
    <w:rsid w:val="002A33E7"/>
    <w:rsid w:val="002A6B1C"/>
    <w:rsid w:val="002A762C"/>
    <w:rsid w:val="002B145B"/>
    <w:rsid w:val="002B1D24"/>
    <w:rsid w:val="002B2D9E"/>
    <w:rsid w:val="002B3C9B"/>
    <w:rsid w:val="002C60EA"/>
    <w:rsid w:val="002C7FA4"/>
    <w:rsid w:val="002D0EFE"/>
    <w:rsid w:val="002D2118"/>
    <w:rsid w:val="002D465C"/>
    <w:rsid w:val="002D639F"/>
    <w:rsid w:val="002D73C1"/>
    <w:rsid w:val="002E70D3"/>
    <w:rsid w:val="002E7A8B"/>
    <w:rsid w:val="002F5A6F"/>
    <w:rsid w:val="00300DCF"/>
    <w:rsid w:val="003023D2"/>
    <w:rsid w:val="00302C1C"/>
    <w:rsid w:val="003100C1"/>
    <w:rsid w:val="003170D4"/>
    <w:rsid w:val="0032362D"/>
    <w:rsid w:val="00323A2D"/>
    <w:rsid w:val="0032625C"/>
    <w:rsid w:val="003263C3"/>
    <w:rsid w:val="003265AE"/>
    <w:rsid w:val="00327590"/>
    <w:rsid w:val="00327A38"/>
    <w:rsid w:val="0033138E"/>
    <w:rsid w:val="00333EF1"/>
    <w:rsid w:val="00335699"/>
    <w:rsid w:val="003376E0"/>
    <w:rsid w:val="00337E3F"/>
    <w:rsid w:val="00341D2B"/>
    <w:rsid w:val="003458DA"/>
    <w:rsid w:val="00346530"/>
    <w:rsid w:val="00353AD1"/>
    <w:rsid w:val="00356557"/>
    <w:rsid w:val="00360856"/>
    <w:rsid w:val="00361E9A"/>
    <w:rsid w:val="00361EEE"/>
    <w:rsid w:val="00363DCD"/>
    <w:rsid w:val="00366EA4"/>
    <w:rsid w:val="0036708F"/>
    <w:rsid w:val="003723B8"/>
    <w:rsid w:val="00372552"/>
    <w:rsid w:val="003832C4"/>
    <w:rsid w:val="00385E53"/>
    <w:rsid w:val="00386BA2"/>
    <w:rsid w:val="00390B22"/>
    <w:rsid w:val="00391121"/>
    <w:rsid w:val="00391E62"/>
    <w:rsid w:val="00393851"/>
    <w:rsid w:val="00393D0D"/>
    <w:rsid w:val="003959AA"/>
    <w:rsid w:val="00396230"/>
    <w:rsid w:val="003A1352"/>
    <w:rsid w:val="003A3749"/>
    <w:rsid w:val="003A58F4"/>
    <w:rsid w:val="003A782C"/>
    <w:rsid w:val="003B044E"/>
    <w:rsid w:val="003B0C80"/>
    <w:rsid w:val="003B230A"/>
    <w:rsid w:val="003B2677"/>
    <w:rsid w:val="003B635C"/>
    <w:rsid w:val="003C21AE"/>
    <w:rsid w:val="003D15CB"/>
    <w:rsid w:val="003D3CEE"/>
    <w:rsid w:val="003D71AE"/>
    <w:rsid w:val="003D7A76"/>
    <w:rsid w:val="003E1458"/>
    <w:rsid w:val="003E319D"/>
    <w:rsid w:val="003E3467"/>
    <w:rsid w:val="003E3DC8"/>
    <w:rsid w:val="003E4022"/>
    <w:rsid w:val="003E68BE"/>
    <w:rsid w:val="00400372"/>
    <w:rsid w:val="00401E1C"/>
    <w:rsid w:val="004045F3"/>
    <w:rsid w:val="00415001"/>
    <w:rsid w:val="0041543E"/>
    <w:rsid w:val="00415966"/>
    <w:rsid w:val="0041775A"/>
    <w:rsid w:val="00417B25"/>
    <w:rsid w:val="00420481"/>
    <w:rsid w:val="00420B6B"/>
    <w:rsid w:val="00420C0B"/>
    <w:rsid w:val="00422DCE"/>
    <w:rsid w:val="00423AA3"/>
    <w:rsid w:val="00424B71"/>
    <w:rsid w:val="00425A60"/>
    <w:rsid w:val="00426522"/>
    <w:rsid w:val="004278DE"/>
    <w:rsid w:val="00430CDA"/>
    <w:rsid w:val="0043284D"/>
    <w:rsid w:val="00435BBD"/>
    <w:rsid w:val="004378AA"/>
    <w:rsid w:val="004400B8"/>
    <w:rsid w:val="00441DCE"/>
    <w:rsid w:val="0044482B"/>
    <w:rsid w:val="00450033"/>
    <w:rsid w:val="004526D2"/>
    <w:rsid w:val="00452809"/>
    <w:rsid w:val="00452CC9"/>
    <w:rsid w:val="00455480"/>
    <w:rsid w:val="0045568A"/>
    <w:rsid w:val="004603F2"/>
    <w:rsid w:val="004646C6"/>
    <w:rsid w:val="00464B36"/>
    <w:rsid w:val="0046546F"/>
    <w:rsid w:val="00470D40"/>
    <w:rsid w:val="004735C8"/>
    <w:rsid w:val="00475147"/>
    <w:rsid w:val="004753CA"/>
    <w:rsid w:val="00475857"/>
    <w:rsid w:val="00475C7D"/>
    <w:rsid w:val="004766E7"/>
    <w:rsid w:val="004816D4"/>
    <w:rsid w:val="00482677"/>
    <w:rsid w:val="00482A2A"/>
    <w:rsid w:val="00484CB6"/>
    <w:rsid w:val="00490BBC"/>
    <w:rsid w:val="00492599"/>
    <w:rsid w:val="00492844"/>
    <w:rsid w:val="00492BE0"/>
    <w:rsid w:val="0049577D"/>
    <w:rsid w:val="004964CE"/>
    <w:rsid w:val="00496AB5"/>
    <w:rsid w:val="004A10BE"/>
    <w:rsid w:val="004A17E5"/>
    <w:rsid w:val="004A1A39"/>
    <w:rsid w:val="004A470C"/>
    <w:rsid w:val="004A56CB"/>
    <w:rsid w:val="004A61DF"/>
    <w:rsid w:val="004A6A7B"/>
    <w:rsid w:val="004A71F7"/>
    <w:rsid w:val="004B4FFC"/>
    <w:rsid w:val="004B57AA"/>
    <w:rsid w:val="004B6F89"/>
    <w:rsid w:val="004C09F2"/>
    <w:rsid w:val="004C26C8"/>
    <w:rsid w:val="004C3484"/>
    <w:rsid w:val="004C377B"/>
    <w:rsid w:val="004C653B"/>
    <w:rsid w:val="004C7285"/>
    <w:rsid w:val="004D56A5"/>
    <w:rsid w:val="004D6EED"/>
    <w:rsid w:val="004D7019"/>
    <w:rsid w:val="004E0278"/>
    <w:rsid w:val="004E1987"/>
    <w:rsid w:val="004E36E4"/>
    <w:rsid w:val="004E3FF2"/>
    <w:rsid w:val="004E7C85"/>
    <w:rsid w:val="004F11C9"/>
    <w:rsid w:val="004F2299"/>
    <w:rsid w:val="004F67AC"/>
    <w:rsid w:val="00500A10"/>
    <w:rsid w:val="00500AFD"/>
    <w:rsid w:val="00500C5E"/>
    <w:rsid w:val="0050219A"/>
    <w:rsid w:val="005042C9"/>
    <w:rsid w:val="005044B4"/>
    <w:rsid w:val="00504CFD"/>
    <w:rsid w:val="00507734"/>
    <w:rsid w:val="00510376"/>
    <w:rsid w:val="00510972"/>
    <w:rsid w:val="00510C8E"/>
    <w:rsid w:val="00512B67"/>
    <w:rsid w:val="00513449"/>
    <w:rsid w:val="00516C67"/>
    <w:rsid w:val="00516C9C"/>
    <w:rsid w:val="00517433"/>
    <w:rsid w:val="00525401"/>
    <w:rsid w:val="00540852"/>
    <w:rsid w:val="00540CAF"/>
    <w:rsid w:val="00542886"/>
    <w:rsid w:val="00542B5D"/>
    <w:rsid w:val="00543BA7"/>
    <w:rsid w:val="00547576"/>
    <w:rsid w:val="005513EA"/>
    <w:rsid w:val="005514F6"/>
    <w:rsid w:val="0055466B"/>
    <w:rsid w:val="00557C95"/>
    <w:rsid w:val="00567759"/>
    <w:rsid w:val="005723A4"/>
    <w:rsid w:val="005769B0"/>
    <w:rsid w:val="00577F06"/>
    <w:rsid w:val="0058025D"/>
    <w:rsid w:val="0058132C"/>
    <w:rsid w:val="005831E3"/>
    <w:rsid w:val="00585BC9"/>
    <w:rsid w:val="0059373B"/>
    <w:rsid w:val="005A4562"/>
    <w:rsid w:val="005B0D24"/>
    <w:rsid w:val="005B14BF"/>
    <w:rsid w:val="005B2312"/>
    <w:rsid w:val="005B3744"/>
    <w:rsid w:val="005B3B08"/>
    <w:rsid w:val="005B7CD1"/>
    <w:rsid w:val="005C276B"/>
    <w:rsid w:val="005C2F0F"/>
    <w:rsid w:val="005C3F89"/>
    <w:rsid w:val="005D0A07"/>
    <w:rsid w:val="005D26EC"/>
    <w:rsid w:val="005D3AD0"/>
    <w:rsid w:val="005D6C70"/>
    <w:rsid w:val="005E10FB"/>
    <w:rsid w:val="005E1D03"/>
    <w:rsid w:val="005E44A4"/>
    <w:rsid w:val="005E5139"/>
    <w:rsid w:val="005E68EB"/>
    <w:rsid w:val="005E7F3E"/>
    <w:rsid w:val="005F131E"/>
    <w:rsid w:val="005F2888"/>
    <w:rsid w:val="00600735"/>
    <w:rsid w:val="00600EFB"/>
    <w:rsid w:val="00601FAA"/>
    <w:rsid w:val="00602FE8"/>
    <w:rsid w:val="006049FE"/>
    <w:rsid w:val="00606161"/>
    <w:rsid w:val="00607B72"/>
    <w:rsid w:val="00611FF2"/>
    <w:rsid w:val="0061713C"/>
    <w:rsid w:val="006210B9"/>
    <w:rsid w:val="0062697F"/>
    <w:rsid w:val="00627918"/>
    <w:rsid w:val="00630173"/>
    <w:rsid w:val="00635DF8"/>
    <w:rsid w:val="00640511"/>
    <w:rsid w:val="006426C4"/>
    <w:rsid w:val="00643385"/>
    <w:rsid w:val="00650C90"/>
    <w:rsid w:val="00650D2A"/>
    <w:rsid w:val="00653B73"/>
    <w:rsid w:val="00653F4C"/>
    <w:rsid w:val="00655910"/>
    <w:rsid w:val="0066456F"/>
    <w:rsid w:val="006664EF"/>
    <w:rsid w:val="0066652B"/>
    <w:rsid w:val="00674B05"/>
    <w:rsid w:val="00680970"/>
    <w:rsid w:val="00681E60"/>
    <w:rsid w:val="00684DEA"/>
    <w:rsid w:val="006852F2"/>
    <w:rsid w:val="006935DA"/>
    <w:rsid w:val="006940BC"/>
    <w:rsid w:val="006A1AA4"/>
    <w:rsid w:val="006A39F6"/>
    <w:rsid w:val="006A448D"/>
    <w:rsid w:val="006A6C1C"/>
    <w:rsid w:val="006B165E"/>
    <w:rsid w:val="006B43F9"/>
    <w:rsid w:val="006B57E8"/>
    <w:rsid w:val="006B65B7"/>
    <w:rsid w:val="006B6DC8"/>
    <w:rsid w:val="006C445F"/>
    <w:rsid w:val="006C53F9"/>
    <w:rsid w:val="006C78C4"/>
    <w:rsid w:val="006D13F6"/>
    <w:rsid w:val="006D7F3B"/>
    <w:rsid w:val="006E26CE"/>
    <w:rsid w:val="006E31B7"/>
    <w:rsid w:val="006E519A"/>
    <w:rsid w:val="006E6936"/>
    <w:rsid w:val="006F0078"/>
    <w:rsid w:val="006F0B63"/>
    <w:rsid w:val="006F25C3"/>
    <w:rsid w:val="006F40A4"/>
    <w:rsid w:val="00701CE3"/>
    <w:rsid w:val="0070526A"/>
    <w:rsid w:val="00706815"/>
    <w:rsid w:val="00710310"/>
    <w:rsid w:val="00713EBC"/>
    <w:rsid w:val="0071613F"/>
    <w:rsid w:val="00723BD0"/>
    <w:rsid w:val="007243F9"/>
    <w:rsid w:val="00726512"/>
    <w:rsid w:val="00730055"/>
    <w:rsid w:val="0073509E"/>
    <w:rsid w:val="007406A3"/>
    <w:rsid w:val="00740F15"/>
    <w:rsid w:val="00742ECD"/>
    <w:rsid w:val="00743DB7"/>
    <w:rsid w:val="00746777"/>
    <w:rsid w:val="007473A3"/>
    <w:rsid w:val="00747508"/>
    <w:rsid w:val="00754F48"/>
    <w:rsid w:val="00760388"/>
    <w:rsid w:val="007625FF"/>
    <w:rsid w:val="00765BAB"/>
    <w:rsid w:val="0076713E"/>
    <w:rsid w:val="007741F4"/>
    <w:rsid w:val="0077420A"/>
    <w:rsid w:val="00775A60"/>
    <w:rsid w:val="00775D9B"/>
    <w:rsid w:val="007779B5"/>
    <w:rsid w:val="00780633"/>
    <w:rsid w:val="007810F5"/>
    <w:rsid w:val="00781A95"/>
    <w:rsid w:val="00783140"/>
    <w:rsid w:val="00784401"/>
    <w:rsid w:val="00785B9F"/>
    <w:rsid w:val="00785FC8"/>
    <w:rsid w:val="00787333"/>
    <w:rsid w:val="00791B56"/>
    <w:rsid w:val="00792EA5"/>
    <w:rsid w:val="0079434E"/>
    <w:rsid w:val="00794365"/>
    <w:rsid w:val="00795E91"/>
    <w:rsid w:val="0079602F"/>
    <w:rsid w:val="0079763F"/>
    <w:rsid w:val="007A01ED"/>
    <w:rsid w:val="007A0D6D"/>
    <w:rsid w:val="007A0EDD"/>
    <w:rsid w:val="007A45E6"/>
    <w:rsid w:val="007A4827"/>
    <w:rsid w:val="007B0306"/>
    <w:rsid w:val="007B05B1"/>
    <w:rsid w:val="007B4D4F"/>
    <w:rsid w:val="007B6BE0"/>
    <w:rsid w:val="007C0043"/>
    <w:rsid w:val="007C0D3C"/>
    <w:rsid w:val="007C120B"/>
    <w:rsid w:val="007C2335"/>
    <w:rsid w:val="007C43E1"/>
    <w:rsid w:val="007C65F1"/>
    <w:rsid w:val="007D2014"/>
    <w:rsid w:val="007D3665"/>
    <w:rsid w:val="007D3802"/>
    <w:rsid w:val="007D5DC7"/>
    <w:rsid w:val="007D6171"/>
    <w:rsid w:val="007E0A46"/>
    <w:rsid w:val="007E6EC7"/>
    <w:rsid w:val="007E73B1"/>
    <w:rsid w:val="007F078B"/>
    <w:rsid w:val="007F5380"/>
    <w:rsid w:val="007F6727"/>
    <w:rsid w:val="00801DAA"/>
    <w:rsid w:val="00810381"/>
    <w:rsid w:val="00810419"/>
    <w:rsid w:val="00810A17"/>
    <w:rsid w:val="00810A86"/>
    <w:rsid w:val="008140DB"/>
    <w:rsid w:val="00814A2F"/>
    <w:rsid w:val="00817205"/>
    <w:rsid w:val="00820192"/>
    <w:rsid w:val="00820273"/>
    <w:rsid w:val="00820E8B"/>
    <w:rsid w:val="00821985"/>
    <w:rsid w:val="0082422E"/>
    <w:rsid w:val="00826798"/>
    <w:rsid w:val="00832170"/>
    <w:rsid w:val="00834AD6"/>
    <w:rsid w:val="00834BB2"/>
    <w:rsid w:val="008374C1"/>
    <w:rsid w:val="00837536"/>
    <w:rsid w:val="008413A6"/>
    <w:rsid w:val="00842683"/>
    <w:rsid w:val="0084332B"/>
    <w:rsid w:val="00853BA4"/>
    <w:rsid w:val="00854827"/>
    <w:rsid w:val="00855DAB"/>
    <w:rsid w:val="00860736"/>
    <w:rsid w:val="00860DA6"/>
    <w:rsid w:val="008628B4"/>
    <w:rsid w:val="00863B8E"/>
    <w:rsid w:val="00873104"/>
    <w:rsid w:val="00874252"/>
    <w:rsid w:val="00874ACC"/>
    <w:rsid w:val="00874BAF"/>
    <w:rsid w:val="00881A87"/>
    <w:rsid w:val="0088265F"/>
    <w:rsid w:val="00882D71"/>
    <w:rsid w:val="00891959"/>
    <w:rsid w:val="008942AD"/>
    <w:rsid w:val="00894653"/>
    <w:rsid w:val="008947AE"/>
    <w:rsid w:val="008951F9"/>
    <w:rsid w:val="00897129"/>
    <w:rsid w:val="008A08E0"/>
    <w:rsid w:val="008A3CFC"/>
    <w:rsid w:val="008A468D"/>
    <w:rsid w:val="008A4F65"/>
    <w:rsid w:val="008A672B"/>
    <w:rsid w:val="008A7E2E"/>
    <w:rsid w:val="008B01BA"/>
    <w:rsid w:val="008B0D96"/>
    <w:rsid w:val="008B14E6"/>
    <w:rsid w:val="008C01D0"/>
    <w:rsid w:val="008C09D3"/>
    <w:rsid w:val="008C0E21"/>
    <w:rsid w:val="008C701E"/>
    <w:rsid w:val="008C7117"/>
    <w:rsid w:val="008D41F0"/>
    <w:rsid w:val="008D6B68"/>
    <w:rsid w:val="008E38E6"/>
    <w:rsid w:val="008E5E6A"/>
    <w:rsid w:val="008F1BBC"/>
    <w:rsid w:val="008F3B81"/>
    <w:rsid w:val="008F3E9A"/>
    <w:rsid w:val="008F4EDB"/>
    <w:rsid w:val="0090117D"/>
    <w:rsid w:val="00906378"/>
    <w:rsid w:val="00907B03"/>
    <w:rsid w:val="0092257D"/>
    <w:rsid w:val="0092486F"/>
    <w:rsid w:val="00933183"/>
    <w:rsid w:val="00933832"/>
    <w:rsid w:val="00937294"/>
    <w:rsid w:val="00944204"/>
    <w:rsid w:val="00946A95"/>
    <w:rsid w:val="00946B22"/>
    <w:rsid w:val="00951237"/>
    <w:rsid w:val="00953483"/>
    <w:rsid w:val="00956EF3"/>
    <w:rsid w:val="009576C6"/>
    <w:rsid w:val="0096418D"/>
    <w:rsid w:val="00965A77"/>
    <w:rsid w:val="009720D8"/>
    <w:rsid w:val="009764A7"/>
    <w:rsid w:val="009779C2"/>
    <w:rsid w:val="00987BE4"/>
    <w:rsid w:val="009929B2"/>
    <w:rsid w:val="0099344A"/>
    <w:rsid w:val="0099696F"/>
    <w:rsid w:val="00996CBB"/>
    <w:rsid w:val="009A55D5"/>
    <w:rsid w:val="009B108F"/>
    <w:rsid w:val="009B16D2"/>
    <w:rsid w:val="009B371E"/>
    <w:rsid w:val="009B3C64"/>
    <w:rsid w:val="009B5D0C"/>
    <w:rsid w:val="009B7465"/>
    <w:rsid w:val="009B7930"/>
    <w:rsid w:val="009C4365"/>
    <w:rsid w:val="009D24C2"/>
    <w:rsid w:val="009D2C2E"/>
    <w:rsid w:val="009D3919"/>
    <w:rsid w:val="009E2D66"/>
    <w:rsid w:val="009E3417"/>
    <w:rsid w:val="009E37BB"/>
    <w:rsid w:val="009E3BE8"/>
    <w:rsid w:val="009E527A"/>
    <w:rsid w:val="009E6661"/>
    <w:rsid w:val="00A01F81"/>
    <w:rsid w:val="00A03482"/>
    <w:rsid w:val="00A05E1D"/>
    <w:rsid w:val="00A05E79"/>
    <w:rsid w:val="00A0657A"/>
    <w:rsid w:val="00A07AAF"/>
    <w:rsid w:val="00A11327"/>
    <w:rsid w:val="00A3155C"/>
    <w:rsid w:val="00A31F37"/>
    <w:rsid w:val="00A320B5"/>
    <w:rsid w:val="00A321D1"/>
    <w:rsid w:val="00A362D0"/>
    <w:rsid w:val="00A408A3"/>
    <w:rsid w:val="00A41B9D"/>
    <w:rsid w:val="00A41EBD"/>
    <w:rsid w:val="00A44274"/>
    <w:rsid w:val="00A453D8"/>
    <w:rsid w:val="00A46170"/>
    <w:rsid w:val="00A464FD"/>
    <w:rsid w:val="00A51804"/>
    <w:rsid w:val="00A52A39"/>
    <w:rsid w:val="00A54B43"/>
    <w:rsid w:val="00A55095"/>
    <w:rsid w:val="00A606C5"/>
    <w:rsid w:val="00A62C01"/>
    <w:rsid w:val="00A62EE3"/>
    <w:rsid w:val="00A63387"/>
    <w:rsid w:val="00A63901"/>
    <w:rsid w:val="00A66540"/>
    <w:rsid w:val="00A67243"/>
    <w:rsid w:val="00A67BB8"/>
    <w:rsid w:val="00A706BF"/>
    <w:rsid w:val="00A711F1"/>
    <w:rsid w:val="00A724C0"/>
    <w:rsid w:val="00A77B52"/>
    <w:rsid w:val="00A82060"/>
    <w:rsid w:val="00A85E3B"/>
    <w:rsid w:val="00A867E9"/>
    <w:rsid w:val="00A87C77"/>
    <w:rsid w:val="00A921A4"/>
    <w:rsid w:val="00A92515"/>
    <w:rsid w:val="00A93E14"/>
    <w:rsid w:val="00A943AA"/>
    <w:rsid w:val="00A945CB"/>
    <w:rsid w:val="00A95693"/>
    <w:rsid w:val="00AA185F"/>
    <w:rsid w:val="00AA3F18"/>
    <w:rsid w:val="00AA5E10"/>
    <w:rsid w:val="00AA60F7"/>
    <w:rsid w:val="00AA617A"/>
    <w:rsid w:val="00AB0621"/>
    <w:rsid w:val="00AB17C5"/>
    <w:rsid w:val="00AB3A98"/>
    <w:rsid w:val="00AC10F8"/>
    <w:rsid w:val="00AC3B31"/>
    <w:rsid w:val="00AC6121"/>
    <w:rsid w:val="00AD454E"/>
    <w:rsid w:val="00AD538E"/>
    <w:rsid w:val="00AD7C7D"/>
    <w:rsid w:val="00AE1CCE"/>
    <w:rsid w:val="00AE1FA1"/>
    <w:rsid w:val="00AE71F5"/>
    <w:rsid w:val="00AE79D5"/>
    <w:rsid w:val="00AF6B8C"/>
    <w:rsid w:val="00AF7BDE"/>
    <w:rsid w:val="00B010D3"/>
    <w:rsid w:val="00B0644C"/>
    <w:rsid w:val="00B073D5"/>
    <w:rsid w:val="00B0792C"/>
    <w:rsid w:val="00B13616"/>
    <w:rsid w:val="00B14C48"/>
    <w:rsid w:val="00B165B8"/>
    <w:rsid w:val="00B17271"/>
    <w:rsid w:val="00B20601"/>
    <w:rsid w:val="00B23858"/>
    <w:rsid w:val="00B2475E"/>
    <w:rsid w:val="00B274FC"/>
    <w:rsid w:val="00B336FF"/>
    <w:rsid w:val="00B34F99"/>
    <w:rsid w:val="00B35366"/>
    <w:rsid w:val="00B436CC"/>
    <w:rsid w:val="00B44874"/>
    <w:rsid w:val="00B5053B"/>
    <w:rsid w:val="00B50655"/>
    <w:rsid w:val="00B53A0B"/>
    <w:rsid w:val="00B55696"/>
    <w:rsid w:val="00B57308"/>
    <w:rsid w:val="00B60CD1"/>
    <w:rsid w:val="00B60DA6"/>
    <w:rsid w:val="00B61774"/>
    <w:rsid w:val="00B61AEB"/>
    <w:rsid w:val="00B638F4"/>
    <w:rsid w:val="00B646A5"/>
    <w:rsid w:val="00B64986"/>
    <w:rsid w:val="00B65A70"/>
    <w:rsid w:val="00B6629C"/>
    <w:rsid w:val="00B66D25"/>
    <w:rsid w:val="00B720D6"/>
    <w:rsid w:val="00B753A1"/>
    <w:rsid w:val="00B75B89"/>
    <w:rsid w:val="00B778C9"/>
    <w:rsid w:val="00B77989"/>
    <w:rsid w:val="00B77A8B"/>
    <w:rsid w:val="00B82BE3"/>
    <w:rsid w:val="00B832A4"/>
    <w:rsid w:val="00B83EFE"/>
    <w:rsid w:val="00B846BC"/>
    <w:rsid w:val="00B85A1F"/>
    <w:rsid w:val="00B86DBE"/>
    <w:rsid w:val="00B87E29"/>
    <w:rsid w:val="00B90454"/>
    <w:rsid w:val="00B9065A"/>
    <w:rsid w:val="00B91625"/>
    <w:rsid w:val="00B9297B"/>
    <w:rsid w:val="00B9403E"/>
    <w:rsid w:val="00B970C7"/>
    <w:rsid w:val="00BA2D8A"/>
    <w:rsid w:val="00BA4AF7"/>
    <w:rsid w:val="00BA55EE"/>
    <w:rsid w:val="00BA6735"/>
    <w:rsid w:val="00BA6982"/>
    <w:rsid w:val="00BA6C90"/>
    <w:rsid w:val="00BB5FB8"/>
    <w:rsid w:val="00BC0589"/>
    <w:rsid w:val="00BC1AD2"/>
    <w:rsid w:val="00BC323B"/>
    <w:rsid w:val="00BC380D"/>
    <w:rsid w:val="00BC5510"/>
    <w:rsid w:val="00BC7E27"/>
    <w:rsid w:val="00BD2BD3"/>
    <w:rsid w:val="00BD6D22"/>
    <w:rsid w:val="00BD7D26"/>
    <w:rsid w:val="00BE241C"/>
    <w:rsid w:val="00BE26C9"/>
    <w:rsid w:val="00BE2D75"/>
    <w:rsid w:val="00BE2FF4"/>
    <w:rsid w:val="00BE30C2"/>
    <w:rsid w:val="00BF07DD"/>
    <w:rsid w:val="00BF2DB0"/>
    <w:rsid w:val="00BF3193"/>
    <w:rsid w:val="00BF5B2C"/>
    <w:rsid w:val="00BF5FC1"/>
    <w:rsid w:val="00BF728C"/>
    <w:rsid w:val="00C0208D"/>
    <w:rsid w:val="00C05BCB"/>
    <w:rsid w:val="00C10C08"/>
    <w:rsid w:val="00C1170B"/>
    <w:rsid w:val="00C14BF5"/>
    <w:rsid w:val="00C17B05"/>
    <w:rsid w:val="00C20946"/>
    <w:rsid w:val="00C22D32"/>
    <w:rsid w:val="00C255B3"/>
    <w:rsid w:val="00C32983"/>
    <w:rsid w:val="00C33646"/>
    <w:rsid w:val="00C34FAF"/>
    <w:rsid w:val="00C35542"/>
    <w:rsid w:val="00C36BBC"/>
    <w:rsid w:val="00C40FD7"/>
    <w:rsid w:val="00C41F57"/>
    <w:rsid w:val="00C45088"/>
    <w:rsid w:val="00C50D2E"/>
    <w:rsid w:val="00C50E88"/>
    <w:rsid w:val="00C510FD"/>
    <w:rsid w:val="00C51E08"/>
    <w:rsid w:val="00C51EB3"/>
    <w:rsid w:val="00C547E7"/>
    <w:rsid w:val="00C55125"/>
    <w:rsid w:val="00C55B18"/>
    <w:rsid w:val="00C60100"/>
    <w:rsid w:val="00C620A0"/>
    <w:rsid w:val="00C663CB"/>
    <w:rsid w:val="00C67EC9"/>
    <w:rsid w:val="00C7321A"/>
    <w:rsid w:val="00C7325E"/>
    <w:rsid w:val="00C75518"/>
    <w:rsid w:val="00C80930"/>
    <w:rsid w:val="00C83736"/>
    <w:rsid w:val="00C845FA"/>
    <w:rsid w:val="00C855AE"/>
    <w:rsid w:val="00C90C92"/>
    <w:rsid w:val="00C94A4E"/>
    <w:rsid w:val="00C95AD5"/>
    <w:rsid w:val="00C97304"/>
    <w:rsid w:val="00CA45D7"/>
    <w:rsid w:val="00CA64E5"/>
    <w:rsid w:val="00CB0507"/>
    <w:rsid w:val="00CB0569"/>
    <w:rsid w:val="00CB1599"/>
    <w:rsid w:val="00CB178D"/>
    <w:rsid w:val="00CB1A31"/>
    <w:rsid w:val="00CB2E9E"/>
    <w:rsid w:val="00CB3997"/>
    <w:rsid w:val="00CB3CD8"/>
    <w:rsid w:val="00CC081A"/>
    <w:rsid w:val="00CC25BD"/>
    <w:rsid w:val="00CC26AC"/>
    <w:rsid w:val="00CC287A"/>
    <w:rsid w:val="00CC5A17"/>
    <w:rsid w:val="00CD00E0"/>
    <w:rsid w:val="00CD5D08"/>
    <w:rsid w:val="00CE1D2E"/>
    <w:rsid w:val="00CE7039"/>
    <w:rsid w:val="00CF0CA4"/>
    <w:rsid w:val="00CF0E3B"/>
    <w:rsid w:val="00CF19C4"/>
    <w:rsid w:val="00CF4891"/>
    <w:rsid w:val="00D06205"/>
    <w:rsid w:val="00D06C3C"/>
    <w:rsid w:val="00D10922"/>
    <w:rsid w:val="00D1112A"/>
    <w:rsid w:val="00D11AF6"/>
    <w:rsid w:val="00D13687"/>
    <w:rsid w:val="00D13FAA"/>
    <w:rsid w:val="00D16291"/>
    <w:rsid w:val="00D16FA9"/>
    <w:rsid w:val="00D245B0"/>
    <w:rsid w:val="00D25338"/>
    <w:rsid w:val="00D2740E"/>
    <w:rsid w:val="00D2770D"/>
    <w:rsid w:val="00D33EC6"/>
    <w:rsid w:val="00D366C3"/>
    <w:rsid w:val="00D41334"/>
    <w:rsid w:val="00D4588C"/>
    <w:rsid w:val="00D55125"/>
    <w:rsid w:val="00D5592B"/>
    <w:rsid w:val="00D57D49"/>
    <w:rsid w:val="00D62420"/>
    <w:rsid w:val="00D626D1"/>
    <w:rsid w:val="00D653F4"/>
    <w:rsid w:val="00D70CFE"/>
    <w:rsid w:val="00D7101D"/>
    <w:rsid w:val="00D737C4"/>
    <w:rsid w:val="00D73C85"/>
    <w:rsid w:val="00D75C9A"/>
    <w:rsid w:val="00D76EC8"/>
    <w:rsid w:val="00D8110B"/>
    <w:rsid w:val="00D8333D"/>
    <w:rsid w:val="00D911FE"/>
    <w:rsid w:val="00D9133E"/>
    <w:rsid w:val="00D921C4"/>
    <w:rsid w:val="00D92E5E"/>
    <w:rsid w:val="00D95218"/>
    <w:rsid w:val="00DA1A52"/>
    <w:rsid w:val="00DA638E"/>
    <w:rsid w:val="00DA65C4"/>
    <w:rsid w:val="00DA78E7"/>
    <w:rsid w:val="00DA7A13"/>
    <w:rsid w:val="00DB0B41"/>
    <w:rsid w:val="00DB44FD"/>
    <w:rsid w:val="00DC28D5"/>
    <w:rsid w:val="00DC39EE"/>
    <w:rsid w:val="00DD1120"/>
    <w:rsid w:val="00DD2328"/>
    <w:rsid w:val="00DD7022"/>
    <w:rsid w:val="00DE1094"/>
    <w:rsid w:val="00DE217D"/>
    <w:rsid w:val="00DE4422"/>
    <w:rsid w:val="00DE6C9D"/>
    <w:rsid w:val="00DE7447"/>
    <w:rsid w:val="00DF2906"/>
    <w:rsid w:val="00DF4ED5"/>
    <w:rsid w:val="00DF700A"/>
    <w:rsid w:val="00DF7405"/>
    <w:rsid w:val="00DF77F9"/>
    <w:rsid w:val="00E01967"/>
    <w:rsid w:val="00E02E6E"/>
    <w:rsid w:val="00E037E4"/>
    <w:rsid w:val="00E04F6E"/>
    <w:rsid w:val="00E17993"/>
    <w:rsid w:val="00E23446"/>
    <w:rsid w:val="00E252C0"/>
    <w:rsid w:val="00E27BFA"/>
    <w:rsid w:val="00E3271A"/>
    <w:rsid w:val="00E3303D"/>
    <w:rsid w:val="00E425F1"/>
    <w:rsid w:val="00E42B8C"/>
    <w:rsid w:val="00E42E01"/>
    <w:rsid w:val="00E43D76"/>
    <w:rsid w:val="00E447DF"/>
    <w:rsid w:val="00E448D9"/>
    <w:rsid w:val="00E44EB8"/>
    <w:rsid w:val="00E44F87"/>
    <w:rsid w:val="00E47F62"/>
    <w:rsid w:val="00E50582"/>
    <w:rsid w:val="00E54393"/>
    <w:rsid w:val="00E56A15"/>
    <w:rsid w:val="00E60B6F"/>
    <w:rsid w:val="00E62BF3"/>
    <w:rsid w:val="00E64A14"/>
    <w:rsid w:val="00E64A3E"/>
    <w:rsid w:val="00E6521D"/>
    <w:rsid w:val="00E6625F"/>
    <w:rsid w:val="00E702FB"/>
    <w:rsid w:val="00E729B7"/>
    <w:rsid w:val="00E739C8"/>
    <w:rsid w:val="00E76D8F"/>
    <w:rsid w:val="00E80EF8"/>
    <w:rsid w:val="00E842FA"/>
    <w:rsid w:val="00E9036D"/>
    <w:rsid w:val="00E9069F"/>
    <w:rsid w:val="00E95848"/>
    <w:rsid w:val="00E97243"/>
    <w:rsid w:val="00EA1442"/>
    <w:rsid w:val="00EA2957"/>
    <w:rsid w:val="00EA5D2D"/>
    <w:rsid w:val="00EA6A95"/>
    <w:rsid w:val="00EB4775"/>
    <w:rsid w:val="00EB4CD3"/>
    <w:rsid w:val="00EB4E77"/>
    <w:rsid w:val="00EB64CC"/>
    <w:rsid w:val="00EB690C"/>
    <w:rsid w:val="00EC4569"/>
    <w:rsid w:val="00EC46B1"/>
    <w:rsid w:val="00EC4A62"/>
    <w:rsid w:val="00EC6CCC"/>
    <w:rsid w:val="00ED010C"/>
    <w:rsid w:val="00ED1748"/>
    <w:rsid w:val="00ED32F4"/>
    <w:rsid w:val="00ED559B"/>
    <w:rsid w:val="00EE313E"/>
    <w:rsid w:val="00EF117C"/>
    <w:rsid w:val="00EF17D7"/>
    <w:rsid w:val="00EF1BEC"/>
    <w:rsid w:val="00EF37ED"/>
    <w:rsid w:val="00EF3E02"/>
    <w:rsid w:val="00EF5A9E"/>
    <w:rsid w:val="00F00EC2"/>
    <w:rsid w:val="00F131D1"/>
    <w:rsid w:val="00F15927"/>
    <w:rsid w:val="00F15CB9"/>
    <w:rsid w:val="00F17449"/>
    <w:rsid w:val="00F20062"/>
    <w:rsid w:val="00F21851"/>
    <w:rsid w:val="00F224E5"/>
    <w:rsid w:val="00F25F4F"/>
    <w:rsid w:val="00F31259"/>
    <w:rsid w:val="00F31BCB"/>
    <w:rsid w:val="00F3335F"/>
    <w:rsid w:val="00F337C9"/>
    <w:rsid w:val="00F43D5E"/>
    <w:rsid w:val="00F4460A"/>
    <w:rsid w:val="00F51159"/>
    <w:rsid w:val="00F51B8F"/>
    <w:rsid w:val="00F54022"/>
    <w:rsid w:val="00F5474C"/>
    <w:rsid w:val="00F54CFD"/>
    <w:rsid w:val="00F569BC"/>
    <w:rsid w:val="00F57D2D"/>
    <w:rsid w:val="00F61397"/>
    <w:rsid w:val="00F614A2"/>
    <w:rsid w:val="00F62F1D"/>
    <w:rsid w:val="00F63A2B"/>
    <w:rsid w:val="00F665D7"/>
    <w:rsid w:val="00F7015F"/>
    <w:rsid w:val="00F701BD"/>
    <w:rsid w:val="00F711E5"/>
    <w:rsid w:val="00F7153C"/>
    <w:rsid w:val="00F71BA0"/>
    <w:rsid w:val="00F727C5"/>
    <w:rsid w:val="00F75683"/>
    <w:rsid w:val="00F8039E"/>
    <w:rsid w:val="00F80633"/>
    <w:rsid w:val="00F80D8E"/>
    <w:rsid w:val="00F859FE"/>
    <w:rsid w:val="00F868A6"/>
    <w:rsid w:val="00F94072"/>
    <w:rsid w:val="00F94DB1"/>
    <w:rsid w:val="00F95EBF"/>
    <w:rsid w:val="00F97762"/>
    <w:rsid w:val="00F97CE5"/>
    <w:rsid w:val="00FA0E81"/>
    <w:rsid w:val="00FA2804"/>
    <w:rsid w:val="00FA396B"/>
    <w:rsid w:val="00FA475E"/>
    <w:rsid w:val="00FA5919"/>
    <w:rsid w:val="00FA73D5"/>
    <w:rsid w:val="00FA7D2D"/>
    <w:rsid w:val="00FB023F"/>
    <w:rsid w:val="00FB1DEA"/>
    <w:rsid w:val="00FB52B3"/>
    <w:rsid w:val="00FC0719"/>
    <w:rsid w:val="00FC1456"/>
    <w:rsid w:val="00FC4F31"/>
    <w:rsid w:val="00FC6866"/>
    <w:rsid w:val="00FD0C81"/>
    <w:rsid w:val="00FD1596"/>
    <w:rsid w:val="00FD1A01"/>
    <w:rsid w:val="00FD2694"/>
    <w:rsid w:val="00FD31D0"/>
    <w:rsid w:val="00FD368D"/>
    <w:rsid w:val="00FD4472"/>
    <w:rsid w:val="00FD7335"/>
    <w:rsid w:val="00FE0376"/>
    <w:rsid w:val="00FE23E3"/>
    <w:rsid w:val="00FE2BFC"/>
    <w:rsid w:val="00FF0EFE"/>
    <w:rsid w:val="00FF4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1821549"/>
  <w15:docId w15:val="{B3E3E9EE-4878-4962-A969-CA825E32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77B"/>
    <w:pPr>
      <w:keepLines/>
      <w:spacing w:before="240"/>
      <w:jc w:val="both"/>
    </w:pPr>
    <w:rPr>
      <w:rFonts w:ascii="Arial" w:eastAsia="Times New Roman" w:hAnsi="Arial"/>
    </w:rPr>
  </w:style>
  <w:style w:type="paragraph" w:styleId="Heading1">
    <w:name w:val="heading 1"/>
    <w:basedOn w:val="Normal"/>
    <w:next w:val="Normal"/>
    <w:link w:val="Heading1Char"/>
    <w:uiPriority w:val="1"/>
    <w:qFormat/>
    <w:rsid w:val="00C51EB3"/>
    <w:pPr>
      <w:keepNext/>
      <w:numPr>
        <w:numId w:val="3"/>
      </w:numPr>
      <w:tabs>
        <w:tab w:val="left" w:pos="851"/>
      </w:tabs>
      <w:spacing w:before="360"/>
      <w:outlineLvl w:val="0"/>
    </w:pPr>
    <w:rPr>
      <w:b/>
      <w:caps/>
      <w:sz w:val="24"/>
      <w:szCs w:val="24"/>
    </w:rPr>
  </w:style>
  <w:style w:type="paragraph" w:styleId="Heading2">
    <w:name w:val="heading 2"/>
    <w:basedOn w:val="Normal"/>
    <w:next w:val="Normal"/>
    <w:link w:val="Heading2Char"/>
    <w:autoRedefine/>
    <w:uiPriority w:val="1"/>
    <w:qFormat/>
    <w:rsid w:val="005E44A4"/>
    <w:pPr>
      <w:keepNext/>
      <w:keepLines w:val="0"/>
      <w:tabs>
        <w:tab w:val="left" w:pos="426"/>
      </w:tabs>
      <w:jc w:val="left"/>
      <w:outlineLvl w:val="1"/>
    </w:pPr>
    <w:rPr>
      <w:rFonts w:eastAsiaTheme="minorEastAsia"/>
      <w:b/>
      <w:sz w:val="21"/>
      <w:lang w:eastAsia="en-US"/>
    </w:rPr>
  </w:style>
  <w:style w:type="paragraph" w:styleId="Heading3">
    <w:name w:val="heading 3"/>
    <w:basedOn w:val="Normal"/>
    <w:next w:val="Normal"/>
    <w:link w:val="Heading3Char"/>
    <w:uiPriority w:val="1"/>
    <w:unhideWhenUsed/>
    <w:qFormat/>
    <w:rsid w:val="004C377B"/>
    <w:pPr>
      <w:keepNext/>
      <w:keepLines w:val="0"/>
      <w:tabs>
        <w:tab w:val="left" w:pos="851"/>
      </w:tabs>
      <w:jc w:val="left"/>
      <w:outlineLvl w:val="2"/>
    </w:pPr>
    <w:rPr>
      <w:rFonts w:eastAsiaTheme="minorEastAsia"/>
      <w:b/>
      <w:lang w:eastAsia="en-US"/>
    </w:rPr>
  </w:style>
  <w:style w:type="paragraph" w:styleId="Heading4">
    <w:name w:val="heading 4"/>
    <w:basedOn w:val="Normal"/>
    <w:next w:val="Normal"/>
    <w:link w:val="Heading4Char"/>
    <w:uiPriority w:val="9"/>
    <w:unhideWhenUsed/>
    <w:qFormat/>
    <w:rsid w:val="004646C6"/>
    <w:pPr>
      <w:keepNext/>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646C6"/>
    <w:pPr>
      <w:keepNext/>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646C6"/>
    <w:pPr>
      <w:keepNext/>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646C6"/>
    <w:pPr>
      <w:keepNext/>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46C6"/>
    <w:pPr>
      <w:keepNext/>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646C6"/>
    <w:pPr>
      <w:keepNext/>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CB1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rsid w:val="00F7015F"/>
    <w:pPr>
      <w:widowControl w:val="0"/>
      <w:autoSpaceDE w:val="0"/>
      <w:autoSpaceDN w:val="0"/>
      <w:adjustRightInd w:val="0"/>
      <w:spacing w:line="288" w:lineRule="auto"/>
      <w:textAlignment w:val="center"/>
    </w:pPr>
    <w:rPr>
      <w:rFonts w:ascii="Times-Roman" w:hAnsi="Times-Roman"/>
      <w:color w:val="000000"/>
      <w:szCs w:val="24"/>
    </w:rPr>
  </w:style>
  <w:style w:type="paragraph" w:styleId="BalloonText">
    <w:name w:val="Balloon Text"/>
    <w:basedOn w:val="Normal"/>
    <w:link w:val="BalloonTextChar"/>
    <w:uiPriority w:val="99"/>
    <w:semiHidden/>
    <w:unhideWhenUsed/>
    <w:rsid w:val="007F5380"/>
    <w:rPr>
      <w:rFonts w:ascii="Tahoma" w:hAnsi="Tahoma" w:cs="Tahoma"/>
      <w:sz w:val="16"/>
      <w:szCs w:val="16"/>
    </w:rPr>
  </w:style>
  <w:style w:type="character" w:customStyle="1" w:styleId="BalloonTextChar">
    <w:name w:val="Balloon Text Char"/>
    <w:basedOn w:val="DefaultParagraphFont"/>
    <w:link w:val="BalloonText"/>
    <w:uiPriority w:val="99"/>
    <w:semiHidden/>
    <w:rsid w:val="007F5380"/>
    <w:rPr>
      <w:rFonts w:ascii="Tahoma" w:hAnsi="Tahoma" w:cs="Tahoma"/>
      <w:sz w:val="16"/>
      <w:szCs w:val="16"/>
      <w:lang w:val="en-GB" w:eastAsia="en-US"/>
    </w:rPr>
  </w:style>
  <w:style w:type="character" w:customStyle="1" w:styleId="HeaderChar">
    <w:name w:val="Header Char"/>
    <w:basedOn w:val="DefaultParagraphFont"/>
    <w:link w:val="Header"/>
    <w:uiPriority w:val="99"/>
    <w:rsid w:val="00496AB5"/>
    <w:rPr>
      <w:sz w:val="24"/>
      <w:lang w:val="en-GB" w:eastAsia="en-US"/>
    </w:rPr>
  </w:style>
  <w:style w:type="character" w:customStyle="1" w:styleId="Heading1Char">
    <w:name w:val="Heading 1 Char"/>
    <w:basedOn w:val="DefaultParagraphFont"/>
    <w:link w:val="Heading1"/>
    <w:uiPriority w:val="1"/>
    <w:rsid w:val="00C51EB3"/>
    <w:rPr>
      <w:rFonts w:ascii="Arial" w:eastAsia="Times New Roman" w:hAnsi="Arial"/>
      <w:b/>
      <w:caps/>
      <w:sz w:val="24"/>
      <w:szCs w:val="24"/>
    </w:rPr>
  </w:style>
  <w:style w:type="paragraph" w:styleId="TOC1">
    <w:name w:val="toc 1"/>
    <w:basedOn w:val="Normal"/>
    <w:next w:val="Normal"/>
    <w:autoRedefine/>
    <w:uiPriority w:val="39"/>
    <w:unhideWhenUsed/>
    <w:rsid w:val="00577F06"/>
    <w:pPr>
      <w:tabs>
        <w:tab w:val="left" w:pos="480"/>
        <w:tab w:val="right" w:pos="9487"/>
      </w:tabs>
      <w:spacing w:before="120" w:after="120"/>
    </w:pPr>
  </w:style>
  <w:style w:type="paragraph" w:styleId="TOC2">
    <w:name w:val="toc 2"/>
    <w:basedOn w:val="Normal"/>
    <w:next w:val="Normal"/>
    <w:autoRedefine/>
    <w:uiPriority w:val="39"/>
    <w:unhideWhenUsed/>
    <w:rsid w:val="00E95848"/>
    <w:pPr>
      <w:tabs>
        <w:tab w:val="right" w:pos="9487"/>
      </w:tabs>
      <w:spacing w:before="160" w:after="120"/>
      <w:ind w:left="240"/>
    </w:pPr>
  </w:style>
  <w:style w:type="paragraph" w:styleId="TOC3">
    <w:name w:val="toc 3"/>
    <w:basedOn w:val="Normal"/>
    <w:next w:val="Normal"/>
    <w:autoRedefine/>
    <w:uiPriority w:val="39"/>
    <w:unhideWhenUsed/>
    <w:rsid w:val="00EE313E"/>
    <w:pPr>
      <w:tabs>
        <w:tab w:val="right" w:pos="9487"/>
      </w:tabs>
      <w:spacing w:before="160" w:after="120"/>
      <w:ind w:left="482"/>
    </w:pPr>
  </w:style>
  <w:style w:type="paragraph" w:styleId="TOC4">
    <w:name w:val="toc 4"/>
    <w:basedOn w:val="Normal"/>
    <w:next w:val="Normal"/>
    <w:autoRedefine/>
    <w:uiPriority w:val="39"/>
    <w:unhideWhenUsed/>
    <w:rsid w:val="00496AB5"/>
    <w:pPr>
      <w:spacing w:after="100"/>
      <w:ind w:left="720"/>
    </w:pPr>
  </w:style>
  <w:style w:type="paragraph" w:styleId="TOC5">
    <w:name w:val="toc 5"/>
    <w:basedOn w:val="Normal"/>
    <w:next w:val="Normal"/>
    <w:autoRedefine/>
    <w:uiPriority w:val="39"/>
    <w:unhideWhenUsed/>
    <w:rsid w:val="00496AB5"/>
    <w:pPr>
      <w:spacing w:after="100"/>
      <w:ind w:left="960"/>
    </w:pPr>
  </w:style>
  <w:style w:type="paragraph" w:styleId="TOC6">
    <w:name w:val="toc 6"/>
    <w:basedOn w:val="Normal"/>
    <w:next w:val="Normal"/>
    <w:autoRedefine/>
    <w:uiPriority w:val="39"/>
    <w:unhideWhenUsed/>
    <w:rsid w:val="00496AB5"/>
    <w:pPr>
      <w:spacing w:after="100"/>
      <w:ind w:left="1200"/>
    </w:pPr>
  </w:style>
  <w:style w:type="paragraph" w:styleId="TOC7">
    <w:name w:val="toc 7"/>
    <w:basedOn w:val="Normal"/>
    <w:next w:val="Normal"/>
    <w:autoRedefine/>
    <w:uiPriority w:val="39"/>
    <w:unhideWhenUsed/>
    <w:rsid w:val="00496AB5"/>
    <w:pPr>
      <w:spacing w:after="100"/>
      <w:ind w:left="1440"/>
    </w:pPr>
  </w:style>
  <w:style w:type="paragraph" w:styleId="TOC8">
    <w:name w:val="toc 8"/>
    <w:basedOn w:val="Normal"/>
    <w:next w:val="Normal"/>
    <w:autoRedefine/>
    <w:uiPriority w:val="39"/>
    <w:unhideWhenUsed/>
    <w:rsid w:val="00496AB5"/>
    <w:pPr>
      <w:spacing w:after="100"/>
      <w:ind w:left="1680"/>
    </w:pPr>
  </w:style>
  <w:style w:type="paragraph" w:styleId="TOC9">
    <w:name w:val="toc 9"/>
    <w:basedOn w:val="Normal"/>
    <w:next w:val="Normal"/>
    <w:autoRedefine/>
    <w:uiPriority w:val="39"/>
    <w:unhideWhenUsed/>
    <w:rsid w:val="00496AB5"/>
    <w:pPr>
      <w:spacing w:after="100"/>
      <w:ind w:left="1920"/>
    </w:pPr>
  </w:style>
  <w:style w:type="character" w:customStyle="1" w:styleId="Heading2Char">
    <w:name w:val="Heading 2 Char"/>
    <w:basedOn w:val="DefaultParagraphFont"/>
    <w:link w:val="Heading2"/>
    <w:uiPriority w:val="1"/>
    <w:rsid w:val="005E44A4"/>
    <w:rPr>
      <w:rFonts w:ascii="Arial" w:eastAsiaTheme="minorEastAsia" w:hAnsi="Arial"/>
      <w:b/>
      <w:sz w:val="21"/>
      <w:lang w:eastAsia="en-US"/>
    </w:rPr>
  </w:style>
  <w:style w:type="paragraph" w:customStyle="1" w:styleId="Text">
    <w:name w:val="Text"/>
    <w:basedOn w:val="Normal"/>
    <w:link w:val="TextChar"/>
    <w:rsid w:val="00E27BFA"/>
  </w:style>
  <w:style w:type="character" w:customStyle="1" w:styleId="TextChar">
    <w:name w:val="Text Char"/>
    <w:link w:val="Text"/>
    <w:rsid w:val="00E27BFA"/>
    <w:rPr>
      <w:rFonts w:ascii="Arial" w:eastAsia="Times New Roman" w:hAnsi="Arial"/>
      <w:lang w:eastAsia="en-US"/>
    </w:rPr>
  </w:style>
  <w:style w:type="paragraph" w:styleId="ListBullet">
    <w:name w:val="List Bullet"/>
    <w:basedOn w:val="Normal"/>
    <w:link w:val="ListBulletChar"/>
    <w:rsid w:val="00E27BFA"/>
    <w:pPr>
      <w:spacing w:before="120"/>
    </w:pPr>
    <w:rPr>
      <w:lang w:eastAsia="en-US"/>
    </w:rPr>
  </w:style>
  <w:style w:type="character" w:customStyle="1" w:styleId="ListBulletChar">
    <w:name w:val="List Bullet Char"/>
    <w:link w:val="ListBullet"/>
    <w:rsid w:val="00E27BFA"/>
    <w:rPr>
      <w:rFonts w:ascii="Arial" w:eastAsia="Times New Roman" w:hAnsi="Arial"/>
      <w:lang w:eastAsia="en-US"/>
    </w:rPr>
  </w:style>
  <w:style w:type="paragraph" w:customStyle="1" w:styleId="Bullet1">
    <w:name w:val="Bullet 1"/>
    <w:basedOn w:val="ListBullet"/>
    <w:link w:val="Bullet1Char"/>
    <w:qFormat/>
    <w:rsid w:val="002D2118"/>
    <w:pPr>
      <w:numPr>
        <w:numId w:val="2"/>
      </w:numPr>
    </w:pPr>
  </w:style>
  <w:style w:type="character" w:styleId="Hyperlink">
    <w:name w:val="Hyperlink"/>
    <w:basedOn w:val="DefaultParagraphFont"/>
    <w:uiPriority w:val="99"/>
    <w:unhideWhenUsed/>
    <w:rsid w:val="00E27BFA"/>
    <w:rPr>
      <w:color w:val="0000FF" w:themeColor="hyperlink"/>
      <w:u w:val="single"/>
    </w:rPr>
  </w:style>
  <w:style w:type="character" w:customStyle="1" w:styleId="Bullet1Char">
    <w:name w:val="Bullet 1 Char"/>
    <w:basedOn w:val="ListBulletChar"/>
    <w:link w:val="Bullet1"/>
    <w:rsid w:val="002D2118"/>
    <w:rPr>
      <w:rFonts w:ascii="Arial" w:eastAsia="Times New Roman" w:hAnsi="Arial"/>
      <w:lang w:eastAsia="en-US"/>
    </w:rPr>
  </w:style>
  <w:style w:type="table" w:customStyle="1" w:styleId="SLRTable">
    <w:name w:val="SLR_Table"/>
    <w:basedOn w:val="TableNormal"/>
    <w:rsid w:val="00055827"/>
    <w:pPr>
      <w:spacing w:before="45" w:after="45"/>
    </w:pPr>
    <w:rPr>
      <w:rFonts w:ascii="Arial" w:eastAsia="Times New Roman" w:hAnsi="Arial"/>
      <w:sz w:val="18"/>
    </w:rPr>
    <w:tblPr>
      <w:tblInd w:w="113" w:type="dxa"/>
      <w:tblBorders>
        <w:top w:val="single" w:sz="2" w:space="0" w:color="auto"/>
        <w:bottom w:val="single" w:sz="2" w:space="0" w:color="auto"/>
        <w:insideH w:val="single" w:sz="2" w:space="0" w:color="auto"/>
      </w:tblBorders>
    </w:tblPr>
    <w:trPr>
      <w:cantSplit/>
    </w:trPr>
  </w:style>
  <w:style w:type="paragraph" w:styleId="TableofFigures">
    <w:name w:val="table of figures"/>
    <w:basedOn w:val="Normal"/>
    <w:next w:val="Normal"/>
    <w:uiPriority w:val="99"/>
    <w:unhideWhenUsed/>
    <w:rsid w:val="00055827"/>
  </w:style>
  <w:style w:type="paragraph" w:styleId="ListNumber">
    <w:name w:val="List Number"/>
    <w:basedOn w:val="Normal"/>
    <w:uiPriority w:val="99"/>
    <w:unhideWhenUsed/>
    <w:rsid w:val="004646C6"/>
    <w:pPr>
      <w:numPr>
        <w:numId w:val="1"/>
      </w:numPr>
      <w:contextualSpacing/>
    </w:pPr>
  </w:style>
  <w:style w:type="character" w:customStyle="1" w:styleId="Heading3Char">
    <w:name w:val="Heading 3 Char"/>
    <w:basedOn w:val="DefaultParagraphFont"/>
    <w:link w:val="Heading3"/>
    <w:uiPriority w:val="1"/>
    <w:rsid w:val="00B86DBE"/>
    <w:rPr>
      <w:rFonts w:ascii="Arial" w:eastAsiaTheme="minorEastAsia" w:hAnsi="Arial"/>
      <w:b/>
      <w:lang w:eastAsia="en-US"/>
    </w:rPr>
  </w:style>
  <w:style w:type="character" w:customStyle="1" w:styleId="Heading4Char">
    <w:name w:val="Heading 4 Char"/>
    <w:basedOn w:val="DefaultParagraphFont"/>
    <w:link w:val="Heading4"/>
    <w:uiPriority w:val="9"/>
    <w:rsid w:val="004646C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646C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6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6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6C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646C6"/>
    <w:rPr>
      <w:rFonts w:asciiTheme="majorHAnsi" w:eastAsiaTheme="majorEastAsia" w:hAnsiTheme="majorHAnsi" w:cstheme="majorBidi"/>
      <w:i/>
      <w:iCs/>
      <w:color w:val="404040" w:themeColor="text1" w:themeTint="BF"/>
    </w:rPr>
  </w:style>
  <w:style w:type="table" w:customStyle="1" w:styleId="SLRTable1">
    <w:name w:val="SLR_Table1"/>
    <w:basedOn w:val="TableNormal"/>
    <w:rsid w:val="00A01F81"/>
    <w:pPr>
      <w:spacing w:before="45" w:after="45"/>
    </w:pPr>
    <w:rPr>
      <w:rFonts w:ascii="Arial" w:eastAsia="Times New Roman" w:hAnsi="Arial"/>
      <w:sz w:val="18"/>
    </w:rPr>
    <w:tblPr>
      <w:tblInd w:w="113" w:type="dxa"/>
      <w:tblBorders>
        <w:top w:val="single" w:sz="2" w:space="0" w:color="auto"/>
        <w:bottom w:val="single" w:sz="2" w:space="0" w:color="auto"/>
        <w:insideH w:val="single" w:sz="2" w:space="0" w:color="auto"/>
      </w:tblBorders>
    </w:tblPr>
    <w:trPr>
      <w:cantSplit/>
    </w:trPr>
  </w:style>
  <w:style w:type="paragraph" w:styleId="ListParagraph">
    <w:name w:val="List Paragraph"/>
    <w:basedOn w:val="Normal"/>
    <w:uiPriority w:val="34"/>
    <w:qFormat/>
    <w:rsid w:val="005723A4"/>
    <w:pPr>
      <w:ind w:left="720"/>
      <w:contextualSpacing/>
    </w:pPr>
  </w:style>
  <w:style w:type="character" w:styleId="CommentReference">
    <w:name w:val="annotation reference"/>
    <w:basedOn w:val="DefaultParagraphFont"/>
    <w:uiPriority w:val="99"/>
    <w:unhideWhenUsed/>
    <w:rsid w:val="00BA2D8A"/>
    <w:rPr>
      <w:sz w:val="16"/>
      <w:szCs w:val="16"/>
    </w:rPr>
  </w:style>
  <w:style w:type="paragraph" w:styleId="CommentText">
    <w:name w:val="annotation text"/>
    <w:basedOn w:val="Normal"/>
    <w:link w:val="CommentTextChar"/>
    <w:uiPriority w:val="99"/>
    <w:unhideWhenUsed/>
    <w:rsid w:val="00BA2D8A"/>
  </w:style>
  <w:style w:type="character" w:customStyle="1" w:styleId="CommentTextChar">
    <w:name w:val="Comment Text Char"/>
    <w:basedOn w:val="DefaultParagraphFont"/>
    <w:link w:val="CommentText"/>
    <w:uiPriority w:val="99"/>
    <w:rsid w:val="00BA2D8A"/>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BA2D8A"/>
    <w:rPr>
      <w:b/>
      <w:bCs/>
    </w:rPr>
  </w:style>
  <w:style w:type="character" w:customStyle="1" w:styleId="CommentSubjectChar">
    <w:name w:val="Comment Subject Char"/>
    <w:basedOn w:val="CommentTextChar"/>
    <w:link w:val="CommentSubject"/>
    <w:uiPriority w:val="99"/>
    <w:semiHidden/>
    <w:rsid w:val="00BA2D8A"/>
    <w:rPr>
      <w:rFonts w:ascii="Arial" w:eastAsia="Times New Roman" w:hAnsi="Arial"/>
      <w:b/>
      <w:bCs/>
    </w:rPr>
  </w:style>
  <w:style w:type="character" w:styleId="FollowedHyperlink">
    <w:name w:val="FollowedHyperlink"/>
    <w:basedOn w:val="DefaultParagraphFont"/>
    <w:uiPriority w:val="99"/>
    <w:semiHidden/>
    <w:unhideWhenUsed/>
    <w:rsid w:val="007D2014"/>
    <w:rPr>
      <w:color w:val="800080" w:themeColor="followedHyperlink"/>
      <w:u w:val="single"/>
    </w:rPr>
  </w:style>
  <w:style w:type="table" w:customStyle="1" w:styleId="TableGrid1">
    <w:name w:val="Table Grid1"/>
    <w:basedOn w:val="TableNormal"/>
    <w:next w:val="TableGrid"/>
    <w:uiPriority w:val="59"/>
    <w:rsid w:val="00A606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0208D"/>
    <w:rPr>
      <w:rFonts w:ascii="Arial" w:eastAsia="Times New Roman" w:hAnsi="Arial"/>
    </w:rPr>
  </w:style>
  <w:style w:type="paragraph" w:customStyle="1" w:styleId="Penstart">
    <w:name w:val="Penstart"/>
    <w:basedOn w:val="Normal"/>
    <w:rsid w:val="00B20601"/>
    <w:pPr>
      <w:keepLines w:val="0"/>
      <w:tabs>
        <w:tab w:val="left" w:pos="879"/>
      </w:tabs>
      <w:spacing w:before="80" w:line="260" w:lineRule="atLeast"/>
      <w:ind w:left="1332" w:hanging="1332"/>
      <w:jc w:val="left"/>
    </w:pPr>
    <w:rPr>
      <w:rFonts w:ascii="Times New Roman" w:hAnsi="Times New Roman"/>
      <w:sz w:val="24"/>
    </w:rPr>
  </w:style>
  <w:style w:type="paragraph" w:customStyle="1" w:styleId="Subsection">
    <w:name w:val="Subsection"/>
    <w:rsid w:val="00B20601"/>
    <w:pPr>
      <w:tabs>
        <w:tab w:val="right" w:pos="595"/>
        <w:tab w:val="left" w:pos="879"/>
      </w:tabs>
      <w:spacing w:before="160" w:line="260" w:lineRule="atLeast"/>
      <w:ind w:left="879" w:hanging="879"/>
    </w:pPr>
    <w:rPr>
      <w:rFonts w:ascii="Times New Roman" w:eastAsia="Times New Roman" w:hAnsi="Times New Roman"/>
      <w:sz w:val="24"/>
    </w:rPr>
  </w:style>
  <w:style w:type="paragraph" w:customStyle="1" w:styleId="Indenta">
    <w:name w:val="Indent(a)"/>
    <w:rsid w:val="00B20601"/>
    <w:pPr>
      <w:tabs>
        <w:tab w:val="right" w:pos="1332"/>
        <w:tab w:val="left" w:pos="1616"/>
      </w:tabs>
      <w:spacing w:before="80" w:line="260" w:lineRule="atLeast"/>
      <w:ind w:left="1616" w:hanging="1616"/>
    </w:pPr>
    <w:rPr>
      <w:rFonts w:ascii="Times New Roman" w:eastAsia="Times New Roman" w:hAnsi="Times New Roman"/>
      <w:sz w:val="24"/>
    </w:rPr>
  </w:style>
  <w:style w:type="paragraph" w:customStyle="1" w:styleId="Indenti">
    <w:name w:val="Indent(i)"/>
    <w:rsid w:val="00B20601"/>
    <w:pPr>
      <w:tabs>
        <w:tab w:val="right" w:pos="2041"/>
        <w:tab w:val="left" w:pos="2325"/>
      </w:tabs>
      <w:spacing w:before="80" w:line="260" w:lineRule="atLeast"/>
      <w:ind w:left="2325" w:hanging="2325"/>
    </w:pPr>
    <w:rPr>
      <w:rFonts w:ascii="Times New Roman" w:eastAsia="Times New Roman" w:hAnsi="Times New Roman"/>
      <w:sz w:val="24"/>
    </w:rPr>
  </w:style>
  <w:style w:type="table" w:customStyle="1" w:styleId="SLRTable2">
    <w:name w:val="SLR_Table2"/>
    <w:basedOn w:val="TableNormal"/>
    <w:rsid w:val="00680970"/>
    <w:pPr>
      <w:spacing w:before="45" w:after="45"/>
    </w:pPr>
    <w:rPr>
      <w:rFonts w:ascii="Arial" w:eastAsia="Times New Roman" w:hAnsi="Arial"/>
      <w:sz w:val="18"/>
    </w:rPr>
    <w:tblPr>
      <w:tblInd w:w="113" w:type="dxa"/>
      <w:tblBorders>
        <w:top w:val="single" w:sz="2" w:space="0" w:color="auto"/>
        <w:bottom w:val="single" w:sz="2" w:space="0" w:color="auto"/>
        <w:insideH w:val="single" w:sz="2" w:space="0" w:color="auto"/>
      </w:tblBorders>
    </w:tblPr>
    <w:trPr>
      <w:cantSplit/>
    </w:trPr>
  </w:style>
  <w:style w:type="character" w:customStyle="1" w:styleId="FooterChar">
    <w:name w:val="Footer Char"/>
    <w:basedOn w:val="DefaultParagraphFont"/>
    <w:link w:val="Footer"/>
    <w:uiPriority w:val="99"/>
    <w:rsid w:val="0045568A"/>
    <w:rPr>
      <w:rFonts w:ascii="Arial" w:eastAsia="Times New Roman" w:hAnsi="Arial"/>
    </w:rPr>
  </w:style>
  <w:style w:type="paragraph" w:customStyle="1" w:styleId="TableText">
    <w:name w:val="TableText"/>
    <w:basedOn w:val="Normal"/>
    <w:qFormat/>
    <w:rsid w:val="00602FE8"/>
    <w:pPr>
      <w:keepLines w:val="0"/>
      <w:tabs>
        <w:tab w:val="left" w:pos="284"/>
      </w:tabs>
      <w:spacing w:before="0" w:line="276" w:lineRule="auto"/>
      <w:jc w:val="left"/>
    </w:pPr>
    <w:rPr>
      <w:rFonts w:eastAsia="Calibri"/>
      <w:bCs/>
      <w:sz w:val="22"/>
      <w:szCs w:val="22"/>
      <w:lang w:eastAsia="en-US"/>
    </w:rPr>
  </w:style>
  <w:style w:type="paragraph" w:customStyle="1" w:styleId="TableHeading">
    <w:name w:val="TableHeading"/>
    <w:basedOn w:val="TableText"/>
    <w:qFormat/>
    <w:rsid w:val="00602FE8"/>
    <w:rPr>
      <w:b/>
    </w:rPr>
  </w:style>
  <w:style w:type="character" w:styleId="Emphasis">
    <w:name w:val="Emphasis"/>
    <w:qFormat/>
    <w:rsid w:val="00602FE8"/>
    <w:rPr>
      <w:b/>
    </w:rPr>
  </w:style>
  <w:style w:type="paragraph" w:customStyle="1" w:styleId="WarningHeading">
    <w:name w:val="WarningHeading"/>
    <w:basedOn w:val="Heading1"/>
    <w:qFormat/>
    <w:rsid w:val="00602FE8"/>
    <w:pPr>
      <w:keepNext w:val="0"/>
      <w:keepLines w:val="0"/>
      <w:numPr>
        <w:numId w:val="0"/>
      </w:numPr>
      <w:pBdr>
        <w:top w:val="single" w:sz="12" w:space="3" w:color="FF0000"/>
        <w:bottom w:val="single" w:sz="12" w:space="0" w:color="FF0000"/>
      </w:pBdr>
      <w:tabs>
        <w:tab w:val="clear" w:pos="851"/>
      </w:tabs>
      <w:autoSpaceDE w:val="0"/>
      <w:autoSpaceDN w:val="0"/>
      <w:adjustRightInd w:val="0"/>
      <w:spacing w:before="0" w:line="276" w:lineRule="auto"/>
    </w:pPr>
    <w:rPr>
      <w:rFonts w:ascii="Calibri" w:hAnsi="Calibri" w:cs="Calibri"/>
      <w:bCs/>
      <w:caps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legislation.gov.au" TargetMode="External"/><Relationship Id="rId39" Type="http://schemas.openxmlformats.org/officeDocument/2006/relationships/hyperlink" Target="https://ctl.curtin.edu.au/wil/fieldwork-forms/index.cfm" TargetMode="External"/><Relationship Id="rId21" Type="http://schemas.openxmlformats.org/officeDocument/2006/relationships/footer" Target="footer4.xml"/><Relationship Id="rId34" Type="http://schemas.openxmlformats.org/officeDocument/2006/relationships/hyperlink" Target="https://healthandsafety.curtin.edu.au/event_and_hazard/index.cfm" TargetMode="External"/><Relationship Id="rId42" Type="http://schemas.openxmlformats.org/officeDocument/2006/relationships/hyperlink" Target="https://www.safeworkaustralia.gov.au/doc/national-code-practice-labelling-workplace-substances-nohsc-2012-1994" TargetMode="External"/><Relationship Id="rId47" Type="http://schemas.openxmlformats.org/officeDocument/2006/relationships/hyperlink" Target="https://properties.curtin.edu.au/local/docs/guidelines/GasManagementGasStoreDesign-V01.pdf" TargetMode="External"/><Relationship Id="rId50" Type="http://schemas.openxmlformats.org/officeDocument/2006/relationships/hyperlink" Target="https://properties.curtin.edu.au/local/docs/guidelines/StorageOfChemicals-V01.pdf" TargetMode="External"/><Relationship Id="rId55" Type="http://schemas.openxmlformats.org/officeDocument/2006/relationships/hyperlink" Target="https://healthandsafety.curtin.edu.au/hazardous-materials/disposal.cfm" TargetMode="External"/><Relationship Id="rId63" Type="http://schemas.openxmlformats.org/officeDocument/2006/relationships/hyperlink" Target="https://healthandsafety.curtin.edu.au/safety_management/policies.cfm" TargetMode="External"/><Relationship Id="rId68" Type="http://schemas.openxmlformats.org/officeDocument/2006/relationships/hyperlink" Target="https://healthandsafety.curtin.edu.au/emergency_management/index.cfm" TargetMode="External"/><Relationship Id="rId76" Type="http://schemas.openxmlformats.org/officeDocument/2006/relationships/hyperlink" Target="https://healthandsafety.curtin.edu.au/training/index.cfm" TargetMode="External"/><Relationship Id="rId84" Type="http://schemas.openxmlformats.org/officeDocument/2006/relationships/hyperlink" Target="http://www.slp.wa.gov.au/Index.html" TargetMode="External"/><Relationship Id="rId89" Type="http://schemas.openxmlformats.org/officeDocument/2006/relationships/hyperlink" Target="https://www.safeworkaustralia.gov.au/" TargetMode="External"/><Relationship Id="rId7" Type="http://schemas.openxmlformats.org/officeDocument/2006/relationships/settings" Target="settings.xml"/><Relationship Id="rId71" Type="http://schemas.openxmlformats.org/officeDocument/2006/relationships/hyperlink" Target="https://healthandsafety.curtin.edu.au/index.cfm" TargetMode="External"/><Relationship Id="rId92" Type="http://schemas.openxmlformats.org/officeDocument/2006/relationships/hyperlink" Target="https://www.safeworkaustralia.gov.au/sds"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healthandsafety.curtin.edu.au/training/index.cfm" TargetMode="Externa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s://healthandsafety.curtin.edu.au/hazardous-materials/index.cfm" TargetMode="External"/><Relationship Id="rId37" Type="http://schemas.openxmlformats.org/officeDocument/2006/relationships/hyperlink" Target="https://healthandsafety.curtin.edu.au/safety_management/policies.cfm" TargetMode="External"/><Relationship Id="rId40" Type="http://schemas.openxmlformats.org/officeDocument/2006/relationships/hyperlink" Target="http://healthandsafety.curtin.edu.au/safety_management/policies.cfm" TargetMode="External"/><Relationship Id="rId45" Type="http://schemas.openxmlformats.org/officeDocument/2006/relationships/hyperlink" Target="https://healthandsafety.curtin.edu.au/Labeltemplate.doc" TargetMode="External"/><Relationship Id="rId53" Type="http://schemas.openxmlformats.org/officeDocument/2006/relationships/hyperlink" Target="https://www.watercorporation.com.au/home/business/trade-waste/trade-waste-in-your-business" TargetMode="External"/><Relationship Id="rId58" Type="http://schemas.openxmlformats.org/officeDocument/2006/relationships/hyperlink" Target="https://www.ato.gov.au/Business/Excise-and-excise-equivalent-goods/Alcohol-excise/Spirits-and-other-excisable-beverages/Concessional-spirits/" TargetMode="External"/><Relationship Id="rId66" Type="http://schemas.openxmlformats.org/officeDocument/2006/relationships/hyperlink" Target="https://healthandsafety.curtin.edu.au/safety_management/Policies_AZ.cfm" TargetMode="External"/><Relationship Id="rId74" Type="http://schemas.openxmlformats.org/officeDocument/2006/relationships/hyperlink" Target="https://healthandsafety.curtin.edu.au/event_and_hazard/index.cfm" TargetMode="External"/><Relationship Id="rId79" Type="http://schemas.openxmlformats.org/officeDocument/2006/relationships/hyperlink" Target="https://properties.curtin.edu.au/local/docs/guidelines/GasManagementGasStoreDesign-V01.pdf" TargetMode="External"/><Relationship Id="rId87" Type="http://schemas.openxmlformats.org/officeDocument/2006/relationships/hyperlink" Target="https://www.ato.gov.au/Business/Excise-and-excise-equivalent-goods/Alcohol-excise/Spirits-and-other-excisable-beverages/Concessional-spirits/" TargetMode="External"/><Relationship Id="rId5" Type="http://schemas.openxmlformats.org/officeDocument/2006/relationships/numbering" Target="numbering.xml"/><Relationship Id="rId61" Type="http://schemas.openxmlformats.org/officeDocument/2006/relationships/hyperlink" Target="http://healthandsafety.curtin.edu.au/safety_management/policies.cfm" TargetMode="External"/><Relationship Id="rId82" Type="http://schemas.openxmlformats.org/officeDocument/2006/relationships/hyperlink" Target="https://riskandassurance.curtin.edu.au/risk_management/RiskManagementFramework.cfm" TargetMode="External"/><Relationship Id="rId90" Type="http://schemas.openxmlformats.org/officeDocument/2006/relationships/hyperlink" Target="https://www.safeworkaustralia.gov.au/doc/national-code-practice-labelling-workplace-substances-nohsc-2012-1994" TargetMode="External"/><Relationship Id="rId95" Type="http://schemas.openxmlformats.org/officeDocument/2006/relationships/fontTable" Target="fontTable.xml"/><Relationship Id="rId19" Type="http://schemas.openxmlformats.org/officeDocument/2006/relationships/footer" Target="footer3.xml"/><Relationship Id="rId14" Type="http://schemas.openxmlformats.org/officeDocument/2006/relationships/hyperlink" Target="https://properties.curtin.edu.au/local/docs/guidelines/StorageOfChemicals-V01.pdf" TargetMode="External"/><Relationship Id="rId22" Type="http://schemas.openxmlformats.org/officeDocument/2006/relationships/hyperlink" Target="https://healthandsafety.curtin.edu.au/hazardous-materials/index.cfm" TargetMode="External"/><Relationship Id="rId27" Type="http://schemas.openxmlformats.org/officeDocument/2006/relationships/hyperlink" Target="https://link.library.curtin.edu.au/cgi-bin/auth-ng/gateway.cgi?url=http://www.saiglobal.com/online/autologin.asp" TargetMode="External"/><Relationship Id="rId30" Type="http://schemas.openxmlformats.org/officeDocument/2006/relationships/hyperlink" Target="https://healthandsafety.curtin.edu.au/local/docs/Reproductive_Hazards_and_Work_Guidelines.pdf" TargetMode="External"/><Relationship Id="rId35" Type="http://schemas.openxmlformats.org/officeDocument/2006/relationships/hyperlink" Target="https://riskmanagement.curtin.edu.au/local/docs/docs_forms/Curtin_Risk_Reference_Tables.pdf" TargetMode="External"/><Relationship Id="rId43" Type="http://schemas.openxmlformats.org/officeDocument/2006/relationships/hyperlink" Target="https://www.safeworkaustralia.gov.au/labelling" TargetMode="External"/><Relationship Id="rId48" Type="http://schemas.openxmlformats.org/officeDocument/2006/relationships/hyperlink" Target="https://healthandsafety.curtin.edu.au/hazardous-materials/timesensitive.cfm" TargetMode="External"/><Relationship Id="rId56" Type="http://schemas.openxmlformats.org/officeDocument/2006/relationships/hyperlink" Target="https://policies.curtin.edu.au/local/docs/policy/Incident_and_Hazard_Reporting_and_Investigation_Procedures.pdf" TargetMode="External"/><Relationship Id="rId64" Type="http://schemas.openxmlformats.org/officeDocument/2006/relationships/hyperlink" Target="https://staffportal.curtin.edu.au/research/manage-research/" TargetMode="External"/><Relationship Id="rId69" Type="http://schemas.openxmlformats.org/officeDocument/2006/relationships/hyperlink" Target="https://policies.curtin.edu.au/compliance/complianceframework.cfm" TargetMode="External"/><Relationship Id="rId77" Type="http://schemas.openxmlformats.org/officeDocument/2006/relationships/hyperlink" Target="https://properties.curtin.edu.au/working-with-us/guidelines.cfm" TargetMode="External"/><Relationship Id="rId8" Type="http://schemas.openxmlformats.org/officeDocument/2006/relationships/webSettings" Target="webSettings.xml"/><Relationship Id="rId51" Type="http://schemas.openxmlformats.org/officeDocument/2006/relationships/hyperlink" Target="https://properties.curtin.edu.au/local/docs/guidelines/StorageOfChemicals-V01.pdf" TargetMode="External"/><Relationship Id="rId72" Type="http://schemas.openxmlformats.org/officeDocument/2006/relationships/hyperlink" Target="https://healthandsafety.curtin.edu.au/hazardous-materials/index.cfm" TargetMode="External"/><Relationship Id="rId80" Type="http://schemas.openxmlformats.org/officeDocument/2006/relationships/hyperlink" Target="https://staffportal.curtin.edu.au/research/manage-research/" TargetMode="External"/><Relationship Id="rId85" Type="http://schemas.openxmlformats.org/officeDocument/2006/relationships/hyperlink" Target="https://www.legislation.gov.au/" TargetMode="External"/><Relationship Id="rId93" Type="http://schemas.openxmlformats.org/officeDocument/2006/relationships/hyperlink" Target="https://www.watercorporation.com.au/home/business/trade-waste"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www.slp.wa.gov.au/Index.html" TargetMode="External"/><Relationship Id="rId33" Type="http://schemas.openxmlformats.org/officeDocument/2006/relationships/hyperlink" Target="https://healthandsafety.curtin.edu.au/index.cfm" TargetMode="External"/><Relationship Id="rId38" Type="http://schemas.openxmlformats.org/officeDocument/2006/relationships/hyperlink" Target="https://healthandsafety.curtin.edu.au/safety_management/policies.cfm" TargetMode="External"/><Relationship Id="rId46" Type="http://schemas.openxmlformats.org/officeDocument/2006/relationships/hyperlink" Target="https://properties.curtin.edu.au/local/docs/guidelines/StorageOfChemicals-V01.pdf" TargetMode="External"/><Relationship Id="rId59" Type="http://schemas.openxmlformats.org/officeDocument/2006/relationships/hyperlink" Target="https://healthandsafety.curtin.edu.au/safety_management/policies.cfm" TargetMode="External"/><Relationship Id="rId67" Type="http://schemas.openxmlformats.org/officeDocument/2006/relationships/hyperlink" Target="https://healthandsafety.curtin.edu.au/local/docs/Managing_Chemical_Waste_Guidelines.pdf" TargetMode="External"/><Relationship Id="rId20" Type="http://schemas.openxmlformats.org/officeDocument/2006/relationships/hyperlink" Target="https://policies.curtin.edu.au/findapolicy/" TargetMode="External"/><Relationship Id="rId41" Type="http://schemas.openxmlformats.org/officeDocument/2006/relationships/hyperlink" Target="http://healthandsafety.curtin.edu.au/local/docs/Pre-Purchase_Risk_Identification_Guideline.pdf" TargetMode="External"/><Relationship Id="rId54" Type="http://schemas.openxmlformats.org/officeDocument/2006/relationships/hyperlink" Target="https://healthandsafety.curtin.edu.au/local/docs/Managing_Chemical_Waste_Guidelines.pdf" TargetMode="External"/><Relationship Id="rId62" Type="http://schemas.openxmlformats.org/officeDocument/2006/relationships/hyperlink" Target="https://portal.apvma.gov.au/pubcris" TargetMode="External"/><Relationship Id="rId70" Type="http://schemas.openxmlformats.org/officeDocument/2006/relationships/hyperlink" Target="https://healthandsafety.curtin.edu.au/emergency_management/plan.cfm" TargetMode="External"/><Relationship Id="rId75" Type="http://schemas.openxmlformats.org/officeDocument/2006/relationships/hyperlink" Target="https://healthandsafety.curtin.edu.au/safety_management/Policies_AZ.cfm" TargetMode="External"/><Relationship Id="rId83" Type="http://schemas.openxmlformats.org/officeDocument/2006/relationships/hyperlink" Target="https://ctl.curtin.edu.au/wil/index.cfm" TargetMode="External"/><Relationship Id="rId88" Type="http://schemas.openxmlformats.org/officeDocument/2006/relationships/hyperlink" Target="https://portal.apvma.gov.au/pubcris" TargetMode="External"/><Relationship Id="rId91" Type="http://schemas.openxmlformats.org/officeDocument/2006/relationships/hyperlink" Target="https://www.safeworkaustralia.gov.au/labelling"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operties.curtin.edu.au/working-with-us/guidelines.cfm" TargetMode="External"/><Relationship Id="rId23" Type="http://schemas.openxmlformats.org/officeDocument/2006/relationships/hyperlink" Target="https://policies.curtin.edu.au/local/docs/policy/Compliance_Procedures.pdf" TargetMode="External"/><Relationship Id="rId28" Type="http://schemas.openxmlformats.org/officeDocument/2006/relationships/hyperlink" Target="https://properties.curtin.edu.au/local/docs/guidelines/StorageOfChemicals-V01.pdf" TargetMode="External"/><Relationship Id="rId36" Type="http://schemas.openxmlformats.org/officeDocument/2006/relationships/hyperlink" Target="https://riskandassurance.curtin.edu.au/risk_management/RiskManagementFramework.cfm" TargetMode="External"/><Relationship Id="rId49" Type="http://schemas.openxmlformats.org/officeDocument/2006/relationships/hyperlink" Target="https://healthandsafety.curtin.edu.au/hazardous-materials/timesensitive.cfm" TargetMode="External"/><Relationship Id="rId57" Type="http://schemas.openxmlformats.org/officeDocument/2006/relationships/hyperlink" Target="https://healthandsafety.curtin.edu.au/emergency_management/plan.cfm" TargetMode="External"/><Relationship Id="rId10" Type="http://schemas.openxmlformats.org/officeDocument/2006/relationships/endnotes" Target="endnotes.xml"/><Relationship Id="rId31" Type="http://schemas.openxmlformats.org/officeDocument/2006/relationships/hyperlink" Target="https://healthandsafety.curtin.edu.au/safety_management/Policies_AZ.cfm" TargetMode="External"/><Relationship Id="rId44" Type="http://schemas.openxmlformats.org/officeDocument/2006/relationships/hyperlink" Target="https://www.safeworkaustralia.gov.au/sds" TargetMode="External"/><Relationship Id="rId52" Type="http://schemas.openxmlformats.org/officeDocument/2006/relationships/hyperlink" Target="https://properties.curtin.edu.au/local/docs/guidelines/StorageOfChemicals-V01.pdf" TargetMode="External"/><Relationship Id="rId60" Type="http://schemas.openxmlformats.org/officeDocument/2006/relationships/hyperlink" Target="https://healthandsafety.curtin.edu.au/safety_management/policies.cfm" TargetMode="External"/><Relationship Id="rId65" Type="http://schemas.openxmlformats.org/officeDocument/2006/relationships/hyperlink" Target="https://staffportal.curtin.edu.au/research/manage-research/" TargetMode="External"/><Relationship Id="rId73" Type="http://schemas.openxmlformats.org/officeDocument/2006/relationships/hyperlink" Target="https://healthandsafety.curtin.edu.au/Labeltemplate.doc" TargetMode="External"/><Relationship Id="rId78" Type="http://schemas.openxmlformats.org/officeDocument/2006/relationships/hyperlink" Target="https://properties.curtin.edu.au/local/docs/guidelines/StorageOfChemicals-V01.pdf" TargetMode="External"/><Relationship Id="rId81" Type="http://schemas.openxmlformats.org/officeDocument/2006/relationships/hyperlink" Target="https://policies.curtin.edu.au/findapolicy/" TargetMode="External"/><Relationship Id="rId86" Type="http://schemas.openxmlformats.org/officeDocument/2006/relationships/hyperlink" Target="https://link.library.curtin.edu.au/cgi-bin/auth-ng/gateway.cgi?url=http://www.saiglobal.com/online/autologin.asp" TargetMode="External"/><Relationship Id="rId9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rtinKeywords xmlns="1e95bab1-19ac-4753-b68d-abd57b130eae">Controlled Documents;HazardousMaterial</CurtinKeywords>
    <Subcategory xmlns="1e95bab1-19ac-4753-b68d-abd57b130eae" xsi:nil="true"/>
    <LastAccessed xmlns="1e95bab1-19ac-4753-b68d-abd57b130eae">2019-10-28T02:31:00+00:00</LastAccessed>
    <SourcePath xmlns="1e95bab1-19ac-4753-b68d-abd57b130eae">J:\Health&amp;Safety\Controlled Documents\HazardousMaterial\Chemical Management Plan V2.0.docx</SourcePath>
    <SecondLevelFolder xmlns="1e95bab1-19ac-4753-b68d-abd57b130eae" xsi:nil="true"/>
    <TopLevelFolder xmlns="1e95bab1-19ac-4753-b68d-abd57b130eae">HazardousMaterial</TopLevelFolder>
    <Tags xmlns="1e95bab1-19ac-4753-b68d-abd57b130eae" xsi:nil="true"/>
    <lcf76f155ced4ddcb4097134ff3c332f xmlns="6944b540-e186-4e72-bd5c-288a43ccf3c6">
      <Terms xmlns="http://schemas.microsoft.com/office/infopath/2007/PartnerControls"/>
    </lcf76f155ced4ddcb4097134ff3c332f>
    <TaxCatchAll xmlns="1e95bab1-19ac-4753-b68d-abd57b130e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urtin Document" ma:contentTypeID="0x010100EC0A8D7B3C914DAEAE06358C05D999B000BCF551E17A1D764BA1BE7F7E07DE4190" ma:contentTypeVersion="29" ma:contentTypeDescription="" ma:contentTypeScope="" ma:versionID="b0864b795d5b3fdc0887a5fbe1e2a16b">
  <xsd:schema xmlns:xsd="http://www.w3.org/2001/XMLSchema" xmlns:xs="http://www.w3.org/2001/XMLSchema" xmlns:p="http://schemas.microsoft.com/office/2006/metadata/properties" xmlns:ns2="1e95bab1-19ac-4753-b68d-abd57b130eae" xmlns:ns3="6944b540-e186-4e72-bd5c-288a43ccf3c6" targetNamespace="http://schemas.microsoft.com/office/2006/metadata/properties" ma:root="true" ma:fieldsID="f60e3118910c83c2027178681ad05a7f" ns2:_="" ns3:_="">
    <xsd:import namespace="1e95bab1-19ac-4753-b68d-abd57b130eae"/>
    <xsd:import namespace="6944b540-e186-4e72-bd5c-288a43ccf3c6"/>
    <xsd:element name="properties">
      <xsd:complexType>
        <xsd:sequence>
          <xsd:element name="documentManagement">
            <xsd:complexType>
              <xsd:all>
                <xsd:element ref="ns2:TopLevelFolder" minOccurs="0"/>
                <xsd:element ref="ns2:SecondLevelFolder" minOccurs="0"/>
                <xsd:element ref="ns2:LastAccessed" minOccurs="0"/>
                <xsd:element ref="ns2:CurtinKeywords" minOccurs="0"/>
                <xsd:element ref="ns2:SourcePath" minOccurs="0"/>
                <xsd:element ref="ns2:Tags" minOccurs="0"/>
                <xsd:element ref="ns2:Subcategor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2:SharedWithUsers" minOccurs="0"/>
                <xsd:element ref="ns2:SharedWithDetail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5bab1-19ac-4753-b68d-abd57b130eae" elementFormDefault="qualified">
    <xsd:import namespace="http://schemas.microsoft.com/office/2006/documentManagement/types"/>
    <xsd:import namespace="http://schemas.microsoft.com/office/infopath/2007/PartnerControls"/>
    <xsd:element name="TopLevelFolder" ma:index="2" nillable="true" ma:displayName="Top Level" ma:format="Dropdown" ma:internalName="TopLevelFolder">
      <xsd:simpleType>
        <xsd:restriction base="dms:Text">
          <xsd:maxLength value="255"/>
        </xsd:restriction>
      </xsd:simpleType>
    </xsd:element>
    <xsd:element name="SecondLevelFolder" ma:index="3" nillable="true" ma:displayName="Second Level" ma:format="Dropdown" ma:internalName="SecondLevelFolder">
      <xsd:simpleType>
        <xsd:restriction base="dms:Text">
          <xsd:maxLength value="255"/>
        </xsd:restriction>
      </xsd:simpleType>
    </xsd:element>
    <xsd:element name="LastAccessed" ma:index="4" nillable="true" ma:displayName="Last Accessed" ma:format="DateOnly" ma:internalName="LastAccessed">
      <xsd:simpleType>
        <xsd:restriction base="dms:DateTime"/>
      </xsd:simpleType>
    </xsd:element>
    <xsd:element name="CurtinKeywords" ma:index="5" nillable="true" ma:displayName="Keywords" ma:internalName="CurtinKeywords">
      <xsd:simpleType>
        <xsd:restriction base="dms:Text">
          <xsd:maxLength value="255"/>
        </xsd:restriction>
      </xsd:simpleType>
    </xsd:element>
    <xsd:element name="SourcePath" ma:index="6" nillable="true" ma:displayName="SourcePath" ma:format="Dropdown" ma:internalName="SourcePath">
      <xsd:simpleType>
        <xsd:restriction base="dms:Text">
          <xsd:maxLength value="255"/>
        </xsd:restriction>
      </xsd:simpleType>
    </xsd:element>
    <xsd:element name="Tags" ma:index="7" nillable="true" ma:displayName="Tags" ma:indexed="true" ma:internalName="Tags">
      <xsd:simpleType>
        <xsd:restriction base="dms:Text">
          <xsd:maxLength value="255"/>
        </xsd:restriction>
      </xsd:simpleType>
    </xsd:element>
    <xsd:element name="Subcategory" ma:index="8" nillable="true" ma:displayName="Subcategory" ma:indexed="true" ma:internalName="Subcategory">
      <xsd:simpleType>
        <xsd:restriction base="dms:Text">
          <xsd:maxLength value="255"/>
        </xsd:restriction>
      </xsd:simpleType>
    </xsd:element>
    <xsd:element name="TaxCatchAll" ma:index="26" nillable="true" ma:displayName="Taxonomy Catch All Column" ma:hidden="true" ma:list="{a789564e-ee69-46fe-99c0-6b2dff26cc30}" ma:internalName="TaxCatchAll" ma:showField="CatchAllData" ma:web="1e95bab1-19ac-4753-b68d-abd57b130eae">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44b540-e186-4e72-bd5c-288a43ccf3c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58b0421-3d9b-4d43-8840-b275eef407cc"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2102F-E288-41EC-B223-CCA981A07B36}">
  <ds:schemaRefs>
    <ds:schemaRef ds:uri="http://schemas.microsoft.com/office/2006/documentManagement/types"/>
    <ds:schemaRef ds:uri="6944b540-e186-4e72-bd5c-288a43ccf3c6"/>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1e95bab1-19ac-4753-b68d-abd57b130eae"/>
    <ds:schemaRef ds:uri="http://www.w3.org/XML/1998/namespace"/>
    <ds:schemaRef ds:uri="http://purl.org/dc/dcmitype/"/>
  </ds:schemaRefs>
</ds:datastoreItem>
</file>

<file path=customXml/itemProps2.xml><?xml version="1.0" encoding="utf-8"?>
<ds:datastoreItem xmlns:ds="http://schemas.openxmlformats.org/officeDocument/2006/customXml" ds:itemID="{AB73E374-8A97-4ED1-8A86-A653DCA73B2C}"/>
</file>

<file path=customXml/itemProps3.xml><?xml version="1.0" encoding="utf-8"?>
<ds:datastoreItem xmlns:ds="http://schemas.openxmlformats.org/officeDocument/2006/customXml" ds:itemID="{C6DF7F5D-6AEA-4A7F-B324-793683E00FF4}">
  <ds:schemaRefs>
    <ds:schemaRef ds:uri="http://schemas.openxmlformats.org/officeDocument/2006/bibliography"/>
  </ds:schemaRefs>
</ds:datastoreItem>
</file>

<file path=customXml/itemProps4.xml><?xml version="1.0" encoding="utf-8"?>
<ds:datastoreItem xmlns:ds="http://schemas.openxmlformats.org/officeDocument/2006/customXml" ds:itemID="{BCC1B9B3-9A1F-4E1E-B4BE-3EE46E293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64</Pages>
  <Words>20742</Words>
  <Characters>132525</Characters>
  <Application>Microsoft Office Word</Application>
  <DocSecurity>0</DocSecurity>
  <Lines>1104</Lines>
  <Paragraphs>305</Paragraphs>
  <ScaleCrop>false</ScaleCrop>
  <HeadingPairs>
    <vt:vector size="2" baseType="variant">
      <vt:variant>
        <vt:lpstr>Title</vt:lpstr>
      </vt:variant>
      <vt:variant>
        <vt:i4>1</vt:i4>
      </vt:variant>
    </vt:vector>
  </HeadingPairs>
  <TitlesOfParts>
    <vt:vector size="1" baseType="lpstr">
      <vt:lpstr>Chemical Management Plan V2.0.docx</vt:lpstr>
    </vt:vector>
  </TitlesOfParts>
  <Company>Curtin Print &amp; Design</Company>
  <LinksUpToDate>false</LinksUpToDate>
  <CharactersWithSpaces>152962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Management Plan.docx</dc:title>
  <dc:creator>Helen Bailey</dc:creator>
  <cp:lastModifiedBy>Erin Poultney</cp:lastModifiedBy>
  <cp:revision>7</cp:revision>
  <cp:lastPrinted>2016-02-09T08:53:00Z</cp:lastPrinted>
  <dcterms:created xsi:type="dcterms:W3CDTF">2022-04-26T00:21:00Z</dcterms:created>
  <dcterms:modified xsi:type="dcterms:W3CDTF">2022-06-23T04:46:00Z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0x010100EC0A8D7B3C914DAEAE06358C05D999B000BCF551E17A1D764BA1BE7F7E07DE4190</vt:lpwstr>
  </property>
  <property fmtid="{D5CDD505-2E9C-101B-9397-08002B2CF9AE}" pid="3" name="LINKTEK-CHUNK-1">
    <vt:lpwstr>010021{"F":2,"I":"9D39-7349-0514-58F5"}</vt:lpwstr>
  </property>
  <property fmtid="{D5CDD505-2E9C-101B-9397-08002B2CF9AE}" pid="4" name="_ExtendedDescription">
    <vt:lpwstr/>
  </property>
  <property fmtid="{D5CDD505-2E9C-101B-9397-08002B2CF9AE}" pid="5" name="Meta">
    <vt:lpwstr>;#None;#</vt:lpwstr>
  </property>
  <property fmtid="{D5CDD505-2E9C-101B-9397-08002B2CF9AE}" pid="6" name="MediaServiceImageTags">
    <vt:lpwstr/>
  </property>
</Properties>
</file>